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FEFE" w14:textId="77777777" w:rsidR="00EC209B" w:rsidRPr="00EC209B" w:rsidRDefault="00EC209B" w:rsidP="00EC209B">
      <w:pPr>
        <w:jc w:val="center"/>
        <w:rPr>
          <w:b/>
          <w:sz w:val="28"/>
          <w:szCs w:val="28"/>
        </w:rPr>
      </w:pPr>
      <w:r w:rsidRPr="00EC209B">
        <w:rPr>
          <w:b/>
          <w:sz w:val="28"/>
          <w:szCs w:val="28"/>
        </w:rPr>
        <w:t xml:space="preserve">Správa HK obce o výsledku kontroly </w:t>
      </w:r>
    </w:p>
    <w:p w14:paraId="2566021C" w14:textId="77777777" w:rsidR="006D12C6" w:rsidRPr="00EC209B" w:rsidRDefault="00EC209B" w:rsidP="00EC209B">
      <w:pPr>
        <w:jc w:val="center"/>
        <w:rPr>
          <w:b/>
          <w:sz w:val="28"/>
          <w:szCs w:val="28"/>
        </w:rPr>
      </w:pPr>
      <w:r w:rsidRPr="00EC209B">
        <w:rPr>
          <w:b/>
          <w:sz w:val="28"/>
          <w:szCs w:val="28"/>
        </w:rPr>
        <w:t xml:space="preserve">stavu a vývoja dlhu obce </w:t>
      </w:r>
      <w:r w:rsidR="00A51A6E" w:rsidRPr="00EC209B">
        <w:rPr>
          <w:b/>
          <w:sz w:val="28"/>
          <w:szCs w:val="28"/>
        </w:rPr>
        <w:t xml:space="preserve"> </w:t>
      </w:r>
      <w:r w:rsidR="00986FB2">
        <w:rPr>
          <w:b/>
          <w:sz w:val="28"/>
          <w:szCs w:val="28"/>
        </w:rPr>
        <w:t>Gemerská Panica</w:t>
      </w:r>
      <w:r w:rsidR="006D12C6" w:rsidRPr="00EC209B">
        <w:rPr>
          <w:b/>
          <w:sz w:val="28"/>
          <w:szCs w:val="28"/>
        </w:rPr>
        <w:t xml:space="preserve"> </w:t>
      </w:r>
      <w:r w:rsidR="00195DA2">
        <w:rPr>
          <w:b/>
          <w:sz w:val="28"/>
          <w:szCs w:val="28"/>
        </w:rPr>
        <w:t>k 31.12.2024</w:t>
      </w:r>
    </w:p>
    <w:p w14:paraId="556BA99D" w14:textId="77777777" w:rsidR="00EC209B" w:rsidRPr="00EC209B" w:rsidRDefault="00EC209B" w:rsidP="00EC209B">
      <w:r w:rsidRPr="00EC209B">
        <w:rPr>
          <w:bCs/>
        </w:rPr>
        <w:t xml:space="preserve"> </w:t>
      </w:r>
    </w:p>
    <w:p w14:paraId="1E56C3C7" w14:textId="663F8F07" w:rsidR="00EC209B" w:rsidRPr="00EC209B" w:rsidRDefault="00EC209B" w:rsidP="00EC209B">
      <w:r w:rsidRPr="00EC209B">
        <w:t>V súlade s</w:t>
      </w:r>
      <w:r>
        <w:t xml:space="preserve"> p</w:t>
      </w:r>
      <w:r w:rsidR="00C1076A">
        <w:t>lánom kontrolnej činnosti na I.</w:t>
      </w:r>
      <w:r w:rsidR="00D24837">
        <w:t xml:space="preserve"> </w:t>
      </w:r>
      <w:r>
        <w:t>polrok 2025</w:t>
      </w:r>
      <w:r w:rsidRPr="00EC209B">
        <w:t xml:space="preserve"> a podľa ustanovenia § 17 ods. 15 zákona č. 583/2004 Z. z. o rozpočtových pravidlách územnej samosprávy a o zmene a doplnení niektorých zákonov v znení neskorších pre</w:t>
      </w:r>
      <w:r>
        <w:t>dpisov vykonal som</w:t>
      </w:r>
      <w:r w:rsidRPr="00EC209B">
        <w:t xml:space="preserve"> </w:t>
      </w:r>
      <w:r w:rsidRPr="00EC209B">
        <w:rPr>
          <w:bCs/>
        </w:rPr>
        <w:t>kontr</w:t>
      </w:r>
      <w:r>
        <w:rPr>
          <w:bCs/>
        </w:rPr>
        <w:t xml:space="preserve">olu stavu a vývoja dlhu obce </w:t>
      </w:r>
      <w:r w:rsidR="0089444A">
        <w:rPr>
          <w:bCs/>
        </w:rPr>
        <w:t>Gemerská Panica</w:t>
      </w:r>
      <w:r w:rsidRPr="00EC209B">
        <w:rPr>
          <w:bCs/>
        </w:rPr>
        <w:t xml:space="preserve">. </w:t>
      </w:r>
    </w:p>
    <w:p w14:paraId="01A177AC" w14:textId="77777777" w:rsidR="00EC209B" w:rsidRPr="00EC209B" w:rsidRDefault="00EC209B" w:rsidP="00EC209B">
      <w:r w:rsidRPr="0060551A">
        <w:rPr>
          <w:u w:val="single"/>
        </w:rPr>
        <w:t>Kontrolované obdobie:</w:t>
      </w:r>
      <w:r>
        <w:t xml:space="preserve"> k 31.12.</w:t>
      </w:r>
      <w:r w:rsidRPr="00EC209B">
        <w:t xml:space="preserve">2024 </w:t>
      </w:r>
    </w:p>
    <w:p w14:paraId="2A78B4D0" w14:textId="77777777" w:rsidR="00EC209B" w:rsidRPr="00EC209B" w:rsidRDefault="00EC209B" w:rsidP="00EC209B">
      <w:r w:rsidRPr="0060551A">
        <w:rPr>
          <w:u w:val="single"/>
        </w:rPr>
        <w:t>Kontrolovaný subjekt:</w:t>
      </w:r>
      <w:r>
        <w:t xml:space="preserve"> Obec  </w:t>
      </w:r>
      <w:r w:rsidR="0089444A">
        <w:t>Gemerská Panica</w:t>
      </w:r>
      <w:r w:rsidRPr="00EC209B">
        <w:t xml:space="preserve"> </w:t>
      </w:r>
    </w:p>
    <w:p w14:paraId="73BD534C" w14:textId="77777777" w:rsidR="00EC209B" w:rsidRPr="0060551A" w:rsidRDefault="00EC209B" w:rsidP="00EC209B">
      <w:pPr>
        <w:rPr>
          <w:b/>
        </w:rPr>
      </w:pPr>
      <w:r w:rsidRPr="0060551A">
        <w:rPr>
          <w:u w:val="single"/>
        </w:rPr>
        <w:t>Predmet a cieľ kontroly:</w:t>
      </w:r>
      <w:r w:rsidRPr="0060551A">
        <w:t xml:space="preserve"> </w:t>
      </w:r>
      <w:r w:rsidR="0060551A" w:rsidRPr="0060551A">
        <w:t>o</w:t>
      </w:r>
      <w:r w:rsidRPr="0060551A">
        <w:t>veriť</w:t>
      </w:r>
      <w:r w:rsidRPr="00EC209B">
        <w:t xml:space="preserve">, či sú dodržané pravidlá používania návratných zdrojov financovania podľa zákona č. 583/2004 Z. z. o rozpočtových pravidlách územnej samosprávy a o zmene a doplnení niektorých zákonov v znení neskorších predpisov (ďalej len ,,zákon č. 583/2004 Z. z.“).  </w:t>
      </w:r>
    </w:p>
    <w:p w14:paraId="413177BE" w14:textId="77777777" w:rsidR="00EC209B" w:rsidRPr="0060551A" w:rsidRDefault="00EC209B" w:rsidP="00EC209B">
      <w:pPr>
        <w:rPr>
          <w:u w:val="single"/>
        </w:rPr>
      </w:pPr>
      <w:r w:rsidRPr="0060551A">
        <w:rPr>
          <w:bCs/>
          <w:u w:val="single"/>
        </w:rPr>
        <w:t xml:space="preserve">Výsledok kontroly: </w:t>
      </w:r>
    </w:p>
    <w:p w14:paraId="21CB9043" w14:textId="77777777" w:rsidR="00EC209B" w:rsidRPr="00EC209B" w:rsidRDefault="00EC209B" w:rsidP="00EC209B">
      <w:r w:rsidRPr="00EC209B">
        <w:t xml:space="preserve">Kontrola dodržiavania pravidiel prijímania a používania návratných zdrojov financovania. </w:t>
      </w:r>
    </w:p>
    <w:p w14:paraId="196A24D2" w14:textId="69C85C98" w:rsidR="00EC209B" w:rsidRPr="00EC209B" w:rsidRDefault="00EC209B" w:rsidP="00EC209B">
      <w:r w:rsidRPr="00EC209B">
        <w:t>Posúdenie stavu a vývoja dlhu bolo vykonané na základe kritérií uvedených v § 17 zákona č. 583/2004 Z. z. o rozpočtových pravidlách územne</w:t>
      </w:r>
      <w:r>
        <w:t>j samosprávy.</w:t>
      </w:r>
      <w:r w:rsidR="00D24837">
        <w:t xml:space="preserve"> </w:t>
      </w:r>
      <w:r>
        <w:t>K</w:t>
      </w:r>
      <w:r w:rsidRPr="00EC209B">
        <w:t>onštatuje</w:t>
      </w:r>
      <w:r>
        <w:t>m,</w:t>
      </w:r>
      <w:r w:rsidR="00D24837">
        <w:t xml:space="preserve"> </w:t>
      </w:r>
      <w:r w:rsidRPr="00EC209B">
        <w:t xml:space="preserve">že finančné a účtovné výkazy poskytli dostatočné informácie o skutočnom stave záväzkov z prijatých návratných zdrojov financovania (FIN 4-04 a FIN 5-04 , finančný výkaz FIN 6-04 poskytuje informácie o zostatku na bankových účtoch a záväzkoch po lehote splatnosti). </w:t>
      </w:r>
    </w:p>
    <w:p w14:paraId="181354E6" w14:textId="77777777" w:rsidR="00EC209B" w:rsidRPr="00EC209B" w:rsidRDefault="00EC209B" w:rsidP="00EC209B">
      <w:r w:rsidRPr="00EC209B">
        <w:t xml:space="preserve">Podmienky použitia návratných zdrojov financovania sú zadefinované v § 17 ods. 2 zákona o rozpočtových pravidlách územnej samosprávy: návratné zdroje financovania možno použiť len na úhradu kapitálových výdavkov, výnimočne možno návratné zdroje financovania použiť aj na vyrovnanie časového nesúladu medzi príjmami a výdavkami bežného rozpočtu v priebehu rozpočtového roka, za podmienky, že tieto budú splatené do konca rozpočtového roka z príjmov bežného rozpočtu. </w:t>
      </w:r>
    </w:p>
    <w:p w14:paraId="38ACAF68" w14:textId="77777777" w:rsidR="00E75888" w:rsidRPr="00997687" w:rsidRDefault="00E75888" w:rsidP="008E3E8D"/>
    <w:p w14:paraId="53D1F6EE" w14:textId="77777777" w:rsidR="006D12C6" w:rsidRDefault="00A51A6E" w:rsidP="00997687">
      <w:r w:rsidRPr="00997687">
        <w:t>Na základe ustanovenia § 17 ods. 14 zákona č. 583/2004 Z.z. o rozpočtových pravidlách územnej samosprávy v znení neskorších predpisov som preverila dodržanie podmienok pre prijatie návratných zdrojov financovania pred ich prijatím. Porušenie podmienok na prijatie návratných zdrojov financovania obcou je hlavný kontrolór obce povinný bezodkladne oznámiť ministerstvu financií.</w:t>
      </w:r>
    </w:p>
    <w:p w14:paraId="38FAF39C" w14:textId="77777777" w:rsidR="00753C37" w:rsidRPr="00753C37" w:rsidRDefault="00753C37" w:rsidP="00753C37">
      <w:r>
        <w:t>Obce</w:t>
      </w:r>
      <w:r w:rsidRPr="00753C37">
        <w:t xml:space="preserve"> musia tiež dodržiavať aj osobitné ustanovenia pre územnú samosprávu v </w:t>
      </w:r>
      <w:hyperlink r:id="rId5" w:tgtFrame="_blank" w:history="1">
        <w:r w:rsidRPr="00753C37">
          <w:rPr>
            <w:rStyle w:val="Hypertextovprepojenie"/>
          </w:rPr>
          <w:t>čl. 6 ods. 1 a 2 ústavného zákona o rozpočtovej zodpovednosti</w:t>
        </w:r>
      </w:hyperlink>
      <w:r w:rsidRPr="00753C37">
        <w:t>.</w:t>
      </w:r>
    </w:p>
    <w:p w14:paraId="0E6077C6" w14:textId="77777777" w:rsidR="00753C37" w:rsidRDefault="00753C37" w:rsidP="00753C37">
      <w:r w:rsidRPr="00753C37">
        <w:t>Z týchto osobitných ustanovení je dôležité upozorniť na uplatnenie sankcie podľa </w:t>
      </w:r>
      <w:hyperlink r:id="rId6" w:tgtFrame="_blank" w:history="1">
        <w:r w:rsidRPr="00753C37">
          <w:rPr>
            <w:rStyle w:val="Hypertextovprepojenie"/>
          </w:rPr>
          <w:t>čl. 6 ods. 3 a 4 ústavného zákona o rozpočtovej zodpovednosti</w:t>
        </w:r>
      </w:hyperlink>
      <w:r w:rsidRPr="00753C37">
        <w:t> v prípade neplnenia obmedzenia pri prijímaní návratných zdrojov financovania v zmysle zákona č. </w:t>
      </w:r>
      <w:hyperlink r:id="rId7" w:tgtFrame="_blank" w:history="1">
        <w:r w:rsidRPr="00753C37">
          <w:rPr>
            <w:rStyle w:val="Hypertextovprepojenie"/>
          </w:rPr>
          <w:t>583/2004 Z. z.</w:t>
        </w:r>
      </w:hyperlink>
      <w:r w:rsidRPr="00753C37">
        <w:t> o rozpočtových pravidlách územnej samospráv</w:t>
      </w:r>
      <w:r>
        <w:t>y. Ak celková suma dlhu obce</w:t>
      </w:r>
      <w:r w:rsidRPr="00753C37">
        <w:t xml:space="preserve"> dosiahne 60 % skutočných bežných príjmov predchádzajúceho ro</w:t>
      </w:r>
      <w:r>
        <w:t>zpočtového roka a viac, obec</w:t>
      </w:r>
      <w:r w:rsidRPr="00753C37">
        <w:t xml:space="preserve"> budú povinní zaplatiť pokutu, ktorú ukladá ministerstvo financií, a to vo výške 5 % z rozdielu medzi celkovou sumou dlhu a 60 % skutočných bežných príjmov predchádzajúceho rozpočtového roka</w:t>
      </w:r>
      <w:r>
        <w:t>.</w:t>
      </w:r>
    </w:p>
    <w:p w14:paraId="25DFA113" w14:textId="77777777" w:rsidR="0016448A" w:rsidRPr="0016448A" w:rsidRDefault="0016448A" w:rsidP="0016448A">
      <w:r w:rsidRPr="0016448A">
        <w:t xml:space="preserve">Tieto zákonné postupy sa nebudú realizovať 24 mesiacov od prvého mesiaca, ktorý bude nasledovať po mesiaci, v ktorom sa uskutočnilo ustanovujúce zasadnutie zastupiteľstva, a v prípadoch, ktoré bližšie vymedzuje čl. 5 ods. 11 a 12 a čl. 12 ods. 10 a 11 ústavného zákona č. 493/2011 Z. z. o rozpočtovej zodpovednosti. </w:t>
      </w:r>
    </w:p>
    <w:p w14:paraId="0F332DF2" w14:textId="77777777" w:rsidR="008E3E8D" w:rsidRPr="00510C15" w:rsidRDefault="008E3E8D" w:rsidP="00510C15">
      <w:pPr>
        <w:rPr>
          <w:b/>
          <w:strike/>
          <w:color w:val="0000FF"/>
        </w:rPr>
      </w:pPr>
    </w:p>
    <w:p w14:paraId="397660CD" w14:textId="77777777" w:rsidR="008E3E8D" w:rsidRPr="00997687" w:rsidRDefault="008E3E8D" w:rsidP="008E3E8D">
      <w:pPr>
        <w:jc w:val="both"/>
        <w:rPr>
          <w:bCs/>
        </w:rPr>
      </w:pPr>
      <w:r w:rsidRPr="00997687">
        <w:rPr>
          <w:bCs/>
        </w:rPr>
        <w:t xml:space="preserve">    Obec v zmysle ustanovenia § 17 ods. 6 zákona č.</w:t>
      </w:r>
      <w:r w:rsidRPr="00997687">
        <w:t>583/2004 Z.z. o rozpočtových pravidlách územnej samosprávy a o zmene a doplnení niektorých zákonov v z.n.p.,</w:t>
      </w:r>
      <w:r w:rsidRPr="00997687">
        <w:rPr>
          <w:bCs/>
        </w:rPr>
        <w:t xml:space="preserve"> môže na plnenie svojich úloh prijať návratné zdroje financovania, len ak:</w:t>
      </w:r>
    </w:p>
    <w:p w14:paraId="0D6C61AE" w14:textId="77777777" w:rsidR="008E3E8D" w:rsidRPr="00997687" w:rsidRDefault="008E3E8D" w:rsidP="008E3E8D">
      <w:pPr>
        <w:numPr>
          <w:ilvl w:val="0"/>
          <w:numId w:val="1"/>
        </w:numPr>
        <w:tabs>
          <w:tab w:val="num" w:pos="284"/>
        </w:tabs>
        <w:ind w:left="284" w:hanging="284"/>
        <w:jc w:val="both"/>
        <w:rPr>
          <w:bCs/>
        </w:rPr>
      </w:pPr>
      <w:r w:rsidRPr="00997687">
        <w:rPr>
          <w:bCs/>
        </w:rPr>
        <w:t xml:space="preserve">celková suma dlhu obce neprekročí </w:t>
      </w:r>
      <w:r w:rsidRPr="00997687">
        <w:rPr>
          <w:b/>
          <w:bCs/>
        </w:rPr>
        <w:t>60%</w:t>
      </w:r>
      <w:r w:rsidRPr="00997687">
        <w:rPr>
          <w:bCs/>
        </w:rPr>
        <w:t xml:space="preserve"> skutočných bežných príjmov predchádzajúceho rozpočtového roka a</w:t>
      </w:r>
    </w:p>
    <w:p w14:paraId="11EC1573" w14:textId="77777777" w:rsidR="008E3E8D" w:rsidRDefault="008E3E8D" w:rsidP="008E3E8D">
      <w:pPr>
        <w:numPr>
          <w:ilvl w:val="0"/>
          <w:numId w:val="1"/>
        </w:numPr>
        <w:tabs>
          <w:tab w:val="num" w:pos="284"/>
        </w:tabs>
        <w:ind w:left="284" w:hanging="284"/>
        <w:jc w:val="both"/>
      </w:pPr>
      <w:r w:rsidRPr="00997687">
        <w:lastRenderedPageBreak/>
        <w:t xml:space="preserve">suma splátok návratných zdrojov financovania, vrátane úhrady výnosov a suma splátok záväzkov z investičných dodávateľských úverov neprekročí v príslušnom rozpočtovom roku </w:t>
      </w:r>
      <w:r w:rsidRPr="00997687">
        <w:rPr>
          <w:b/>
        </w:rPr>
        <w:t>25 %</w:t>
      </w:r>
      <w:r w:rsidRPr="00997687">
        <w:t xml:space="preserve"> skutočných bežných príjmov predchádzajúceho rozpočtového roka znížených o prostriedky poskytnuté v príslušnom rozpočtovom roku obci z rozpočtu iného subjektu verejnej správy, prostriedky poskytnuté z Európskej únie a iné prostriedky zo zahraničia alebo prostriedky získané na základe osobitného predpisu. </w:t>
      </w:r>
    </w:p>
    <w:p w14:paraId="28FF89F6" w14:textId="77777777" w:rsidR="002A470C" w:rsidRDefault="002A470C" w:rsidP="002A470C">
      <w:pPr>
        <w:ind w:left="284"/>
        <w:jc w:val="both"/>
      </w:pPr>
    </w:p>
    <w:p w14:paraId="6E5C6A25" w14:textId="5F95C4F2" w:rsidR="00986FB2" w:rsidRDefault="00986FB2" w:rsidP="00986FB2">
      <w:pPr>
        <w:numPr>
          <w:ilvl w:val="0"/>
          <w:numId w:val="2"/>
        </w:numPr>
        <w:ind w:left="284" w:hanging="284"/>
        <w:jc w:val="both"/>
        <w:rPr>
          <w:b/>
        </w:rPr>
      </w:pPr>
      <w:r>
        <w:rPr>
          <w:b/>
          <w:color w:val="FF0000"/>
        </w:rPr>
        <w:t>Výpočet dlhu obce</w:t>
      </w:r>
      <w:r>
        <w:rPr>
          <w:b/>
        </w:rPr>
        <w:t xml:space="preserve"> podľa § 17 ods.6 písm. a) zákona č.</w:t>
      </w:r>
      <w:r w:rsidR="00D24837">
        <w:rPr>
          <w:b/>
        </w:rPr>
        <w:t xml:space="preserve"> </w:t>
      </w:r>
      <w:r>
        <w:rPr>
          <w:b/>
        </w:rPr>
        <w:t>583/2004 Z.</w:t>
      </w:r>
      <w:r w:rsidR="00D24837">
        <w:rPr>
          <w:b/>
        </w:rPr>
        <w:t xml:space="preserve"> </w:t>
      </w:r>
      <w:r>
        <w:rPr>
          <w:b/>
        </w:rPr>
        <w:t>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544"/>
      </w:tblGrid>
      <w:tr w:rsidR="00986FB2" w14:paraId="303F31E6" w14:textId="77777777" w:rsidTr="00986FB2">
        <w:tc>
          <w:tcPr>
            <w:tcW w:w="6408" w:type="dxa"/>
            <w:tcBorders>
              <w:top w:val="single" w:sz="4" w:space="0" w:color="auto"/>
              <w:left w:val="single" w:sz="4" w:space="0" w:color="auto"/>
              <w:bottom w:val="single" w:sz="4" w:space="0" w:color="auto"/>
              <w:right w:val="single" w:sz="4" w:space="0" w:color="auto"/>
            </w:tcBorders>
            <w:shd w:val="clear" w:color="auto" w:fill="D9D9D9"/>
          </w:tcPr>
          <w:p w14:paraId="6A610E17" w14:textId="77777777" w:rsidR="00986FB2" w:rsidRDefault="00986FB2">
            <w:pPr>
              <w:spacing w:line="276" w:lineRule="auto"/>
              <w:jc w:val="center"/>
              <w:rPr>
                <w:b/>
                <w:sz w:val="18"/>
                <w:szCs w:val="18"/>
                <w:lang w:eastAsia="en-US"/>
              </w:rPr>
            </w:pPr>
          </w:p>
          <w:p w14:paraId="286683EA" w14:textId="77777777" w:rsidR="00986FB2" w:rsidRDefault="00986FB2">
            <w:pPr>
              <w:spacing w:line="276" w:lineRule="auto"/>
              <w:jc w:val="center"/>
              <w:rPr>
                <w:b/>
                <w:sz w:val="18"/>
                <w:szCs w:val="18"/>
                <w:lang w:eastAsia="en-US"/>
              </w:rPr>
            </w:pPr>
            <w:r>
              <w:rPr>
                <w:b/>
                <w:sz w:val="18"/>
                <w:szCs w:val="18"/>
                <w:lang w:eastAsia="en-US"/>
              </w:rPr>
              <w:t>Text</w:t>
            </w:r>
          </w:p>
        </w:tc>
        <w:tc>
          <w:tcPr>
            <w:tcW w:w="2544" w:type="dxa"/>
            <w:tcBorders>
              <w:top w:val="single" w:sz="4" w:space="0" w:color="auto"/>
              <w:left w:val="single" w:sz="4" w:space="0" w:color="auto"/>
              <w:bottom w:val="single" w:sz="4" w:space="0" w:color="auto"/>
              <w:right w:val="single" w:sz="4" w:space="0" w:color="auto"/>
            </w:tcBorders>
            <w:shd w:val="clear" w:color="auto" w:fill="D9D9D9"/>
          </w:tcPr>
          <w:p w14:paraId="7FDF6FA3" w14:textId="77777777" w:rsidR="00986FB2" w:rsidRDefault="00986FB2">
            <w:pPr>
              <w:spacing w:line="276" w:lineRule="auto"/>
              <w:jc w:val="center"/>
              <w:rPr>
                <w:b/>
                <w:sz w:val="18"/>
                <w:szCs w:val="18"/>
                <w:lang w:eastAsia="en-US"/>
              </w:rPr>
            </w:pPr>
          </w:p>
          <w:p w14:paraId="39CAB2EE" w14:textId="77777777" w:rsidR="00986FB2" w:rsidRDefault="00986FB2">
            <w:pPr>
              <w:spacing w:line="276" w:lineRule="auto"/>
              <w:jc w:val="center"/>
              <w:rPr>
                <w:b/>
                <w:sz w:val="18"/>
                <w:szCs w:val="18"/>
                <w:lang w:eastAsia="en-US"/>
              </w:rPr>
            </w:pPr>
            <w:r>
              <w:rPr>
                <w:b/>
                <w:sz w:val="18"/>
                <w:szCs w:val="18"/>
                <w:lang w:eastAsia="en-US"/>
              </w:rPr>
              <w:t>Suma v EUR</w:t>
            </w:r>
          </w:p>
        </w:tc>
      </w:tr>
      <w:tr w:rsidR="00986FB2" w14:paraId="075B54D7" w14:textId="77777777" w:rsidTr="00986FB2">
        <w:tc>
          <w:tcPr>
            <w:tcW w:w="6408" w:type="dxa"/>
            <w:tcBorders>
              <w:top w:val="single" w:sz="4" w:space="0" w:color="auto"/>
              <w:left w:val="single" w:sz="4" w:space="0" w:color="auto"/>
              <w:bottom w:val="single" w:sz="4" w:space="0" w:color="auto"/>
              <w:right w:val="single" w:sz="4" w:space="0" w:color="auto"/>
            </w:tcBorders>
            <w:hideMark/>
          </w:tcPr>
          <w:p w14:paraId="036A0B71" w14:textId="77777777" w:rsidR="00986FB2" w:rsidRDefault="00986FB2">
            <w:pPr>
              <w:spacing w:line="276" w:lineRule="auto"/>
              <w:rPr>
                <w:b/>
                <w:sz w:val="20"/>
                <w:szCs w:val="20"/>
                <w:lang w:eastAsia="en-US"/>
              </w:rPr>
            </w:pPr>
            <w:r>
              <w:rPr>
                <w:b/>
                <w:sz w:val="20"/>
                <w:szCs w:val="20"/>
                <w:lang w:eastAsia="en-US"/>
              </w:rPr>
              <w:t>Bežné príjmy z finančného výkazu FIN 1-12 k </w:t>
            </w:r>
            <w:r>
              <w:rPr>
                <w:b/>
                <w:sz w:val="20"/>
                <w:szCs w:val="20"/>
                <w:highlight w:val="green"/>
                <w:lang w:eastAsia="en-US"/>
              </w:rPr>
              <w:t>31.12.2023:</w:t>
            </w:r>
          </w:p>
        </w:tc>
        <w:tc>
          <w:tcPr>
            <w:tcW w:w="2544" w:type="dxa"/>
            <w:tcBorders>
              <w:top w:val="single" w:sz="4" w:space="0" w:color="auto"/>
              <w:left w:val="single" w:sz="4" w:space="0" w:color="auto"/>
              <w:bottom w:val="single" w:sz="4" w:space="0" w:color="auto"/>
              <w:right w:val="single" w:sz="4" w:space="0" w:color="auto"/>
            </w:tcBorders>
          </w:tcPr>
          <w:p w14:paraId="16459B16" w14:textId="77777777" w:rsidR="00986FB2" w:rsidRDefault="00986FB2">
            <w:pPr>
              <w:spacing w:line="360" w:lineRule="auto"/>
              <w:jc w:val="right"/>
              <w:rPr>
                <w:b/>
                <w:sz w:val="20"/>
                <w:szCs w:val="20"/>
                <w:lang w:eastAsia="en-US"/>
              </w:rPr>
            </w:pPr>
          </w:p>
        </w:tc>
      </w:tr>
      <w:tr w:rsidR="00986FB2" w14:paraId="3582252E" w14:textId="77777777" w:rsidTr="00986FB2">
        <w:tc>
          <w:tcPr>
            <w:tcW w:w="6408" w:type="dxa"/>
            <w:tcBorders>
              <w:top w:val="single" w:sz="4" w:space="0" w:color="auto"/>
              <w:left w:val="single" w:sz="4" w:space="0" w:color="auto"/>
              <w:bottom w:val="single" w:sz="4" w:space="0" w:color="auto"/>
              <w:right w:val="single" w:sz="4" w:space="0" w:color="auto"/>
            </w:tcBorders>
            <w:hideMark/>
          </w:tcPr>
          <w:p w14:paraId="55D27846"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 xml:space="preserve">bežné príjmy </w:t>
            </w:r>
            <w:r>
              <w:rPr>
                <w:color w:val="FF0000"/>
                <w:sz w:val="20"/>
                <w:szCs w:val="20"/>
                <w:lang w:eastAsia="en-US"/>
              </w:rPr>
              <w:t xml:space="preserve">obce </w:t>
            </w:r>
          </w:p>
        </w:tc>
        <w:tc>
          <w:tcPr>
            <w:tcW w:w="2544" w:type="dxa"/>
            <w:tcBorders>
              <w:top w:val="single" w:sz="4" w:space="0" w:color="auto"/>
              <w:left w:val="single" w:sz="4" w:space="0" w:color="auto"/>
              <w:bottom w:val="single" w:sz="4" w:space="0" w:color="auto"/>
              <w:right w:val="single" w:sz="4" w:space="0" w:color="auto"/>
            </w:tcBorders>
            <w:hideMark/>
          </w:tcPr>
          <w:p w14:paraId="065CE9CE" w14:textId="77777777" w:rsidR="00986FB2" w:rsidRDefault="00986FB2">
            <w:pPr>
              <w:spacing w:line="276" w:lineRule="auto"/>
              <w:jc w:val="right"/>
              <w:rPr>
                <w:sz w:val="20"/>
                <w:szCs w:val="20"/>
                <w:lang w:eastAsia="en-US"/>
              </w:rPr>
            </w:pPr>
            <w:r>
              <w:rPr>
                <w:sz w:val="20"/>
                <w:szCs w:val="20"/>
                <w:lang w:eastAsia="en-US"/>
              </w:rPr>
              <w:t>400 378,86</w:t>
            </w:r>
          </w:p>
        </w:tc>
      </w:tr>
      <w:tr w:rsidR="00986FB2" w14:paraId="55BAFF18" w14:textId="77777777" w:rsidTr="00986FB2">
        <w:tc>
          <w:tcPr>
            <w:tcW w:w="6408" w:type="dxa"/>
            <w:tcBorders>
              <w:top w:val="single" w:sz="4" w:space="0" w:color="auto"/>
              <w:left w:val="single" w:sz="4" w:space="0" w:color="auto"/>
              <w:bottom w:val="single" w:sz="4" w:space="0" w:color="auto"/>
              <w:right w:val="single" w:sz="4" w:space="0" w:color="auto"/>
            </w:tcBorders>
            <w:shd w:val="clear" w:color="auto" w:fill="F7CAAC"/>
            <w:hideMark/>
          </w:tcPr>
          <w:p w14:paraId="5CD92908" w14:textId="77777777" w:rsidR="00986FB2" w:rsidRPr="008B4710" w:rsidRDefault="00986FB2">
            <w:pPr>
              <w:spacing w:line="276" w:lineRule="auto"/>
              <w:rPr>
                <w:b/>
                <w:sz w:val="20"/>
                <w:szCs w:val="20"/>
                <w:lang w:eastAsia="en-US"/>
              </w:rPr>
            </w:pPr>
            <w:r>
              <w:rPr>
                <w:b/>
                <w:sz w:val="20"/>
                <w:szCs w:val="20"/>
                <w:lang w:eastAsia="en-US"/>
              </w:rPr>
              <w:t>Úhrn bežných príjmov obce a RO k </w:t>
            </w:r>
            <w:r>
              <w:rPr>
                <w:b/>
                <w:sz w:val="20"/>
                <w:szCs w:val="20"/>
                <w:highlight w:val="green"/>
                <w:lang w:eastAsia="en-US"/>
              </w:rPr>
              <w:t>31.12.2023</w:t>
            </w:r>
          </w:p>
        </w:tc>
        <w:tc>
          <w:tcPr>
            <w:tcW w:w="2544" w:type="dxa"/>
            <w:tcBorders>
              <w:top w:val="single" w:sz="4" w:space="0" w:color="auto"/>
              <w:left w:val="single" w:sz="4" w:space="0" w:color="auto"/>
              <w:bottom w:val="single" w:sz="4" w:space="0" w:color="auto"/>
              <w:right w:val="single" w:sz="4" w:space="0" w:color="auto"/>
            </w:tcBorders>
            <w:shd w:val="clear" w:color="auto" w:fill="F7CAAC"/>
            <w:hideMark/>
          </w:tcPr>
          <w:p w14:paraId="1207F126" w14:textId="77777777" w:rsidR="00986FB2" w:rsidRDefault="00986FB2">
            <w:pPr>
              <w:spacing w:line="360" w:lineRule="auto"/>
              <w:jc w:val="right"/>
              <w:rPr>
                <w:b/>
                <w:lang w:eastAsia="en-US"/>
              </w:rPr>
            </w:pPr>
            <w:r>
              <w:rPr>
                <w:b/>
                <w:lang w:eastAsia="en-US"/>
              </w:rPr>
              <w:t>400 378,86</w:t>
            </w:r>
          </w:p>
        </w:tc>
      </w:tr>
      <w:tr w:rsidR="00986FB2" w14:paraId="556DC9AE" w14:textId="77777777" w:rsidTr="00986FB2">
        <w:tc>
          <w:tcPr>
            <w:tcW w:w="6408" w:type="dxa"/>
            <w:tcBorders>
              <w:top w:val="single" w:sz="4" w:space="0" w:color="auto"/>
              <w:left w:val="single" w:sz="4" w:space="0" w:color="auto"/>
              <w:bottom w:val="single" w:sz="4" w:space="0" w:color="auto"/>
              <w:right w:val="single" w:sz="4" w:space="0" w:color="auto"/>
            </w:tcBorders>
            <w:hideMark/>
          </w:tcPr>
          <w:p w14:paraId="01D90FB8" w14:textId="77777777" w:rsidR="00986FB2" w:rsidRDefault="00986FB2">
            <w:pPr>
              <w:spacing w:line="360" w:lineRule="auto"/>
              <w:rPr>
                <w:b/>
                <w:sz w:val="20"/>
                <w:szCs w:val="20"/>
                <w:lang w:eastAsia="en-US"/>
              </w:rPr>
            </w:pPr>
            <w:r>
              <w:rPr>
                <w:b/>
                <w:sz w:val="20"/>
                <w:szCs w:val="20"/>
                <w:lang w:eastAsia="en-US"/>
              </w:rPr>
              <w:t>Celková suma dlhu obce podľa §17/7 k 31.12.2024:</w:t>
            </w:r>
          </w:p>
        </w:tc>
        <w:tc>
          <w:tcPr>
            <w:tcW w:w="2544" w:type="dxa"/>
            <w:tcBorders>
              <w:top w:val="single" w:sz="4" w:space="0" w:color="auto"/>
              <w:left w:val="single" w:sz="4" w:space="0" w:color="auto"/>
              <w:bottom w:val="single" w:sz="4" w:space="0" w:color="auto"/>
              <w:right w:val="single" w:sz="4" w:space="0" w:color="auto"/>
            </w:tcBorders>
          </w:tcPr>
          <w:p w14:paraId="7F3CAAB4" w14:textId="77777777" w:rsidR="00986FB2" w:rsidRDefault="00986FB2">
            <w:pPr>
              <w:spacing w:line="276" w:lineRule="auto"/>
              <w:jc w:val="right"/>
              <w:rPr>
                <w:b/>
                <w:lang w:eastAsia="en-US"/>
              </w:rPr>
            </w:pPr>
          </w:p>
        </w:tc>
      </w:tr>
      <w:tr w:rsidR="00986FB2" w14:paraId="24A48820" w14:textId="77777777" w:rsidTr="00986FB2">
        <w:trPr>
          <w:trHeight w:val="505"/>
        </w:trPr>
        <w:tc>
          <w:tcPr>
            <w:tcW w:w="6408" w:type="dxa"/>
            <w:tcBorders>
              <w:top w:val="single" w:sz="4" w:space="0" w:color="auto"/>
              <w:left w:val="single" w:sz="4" w:space="0" w:color="auto"/>
              <w:bottom w:val="single" w:sz="4" w:space="0" w:color="auto"/>
              <w:right w:val="single" w:sz="4" w:space="0" w:color="auto"/>
            </w:tcBorders>
            <w:hideMark/>
          </w:tcPr>
          <w:p w14:paraId="6FDF0694" w14:textId="77777777" w:rsidR="00986FB2" w:rsidRPr="008B4710" w:rsidRDefault="00986FB2" w:rsidP="008B4710">
            <w:pPr>
              <w:numPr>
                <w:ilvl w:val="0"/>
                <w:numId w:val="9"/>
              </w:numPr>
              <w:tabs>
                <w:tab w:val="num" w:pos="318"/>
              </w:tabs>
              <w:spacing w:line="276" w:lineRule="auto"/>
              <w:ind w:left="318" w:hanging="142"/>
              <w:rPr>
                <w:sz w:val="20"/>
                <w:szCs w:val="20"/>
                <w:lang w:eastAsia="en-US"/>
              </w:rPr>
            </w:pPr>
            <w:r>
              <w:rPr>
                <w:sz w:val="20"/>
                <w:szCs w:val="20"/>
                <w:lang w:eastAsia="en-US"/>
              </w:rPr>
              <w:t xml:space="preserve">zostatok istiny z bankových úverov, </w:t>
            </w:r>
          </w:p>
        </w:tc>
        <w:tc>
          <w:tcPr>
            <w:tcW w:w="2544" w:type="dxa"/>
            <w:tcBorders>
              <w:top w:val="single" w:sz="4" w:space="0" w:color="auto"/>
              <w:left w:val="single" w:sz="4" w:space="0" w:color="auto"/>
              <w:bottom w:val="single" w:sz="4" w:space="0" w:color="auto"/>
              <w:right w:val="single" w:sz="4" w:space="0" w:color="auto"/>
            </w:tcBorders>
            <w:hideMark/>
          </w:tcPr>
          <w:p w14:paraId="5A0C4AF5" w14:textId="77777777" w:rsidR="00986FB2" w:rsidRDefault="00986FB2">
            <w:pPr>
              <w:spacing w:line="276" w:lineRule="auto"/>
              <w:jc w:val="right"/>
              <w:rPr>
                <w:sz w:val="20"/>
                <w:szCs w:val="20"/>
                <w:lang w:eastAsia="en-US"/>
              </w:rPr>
            </w:pPr>
            <w:r>
              <w:rPr>
                <w:sz w:val="20"/>
                <w:szCs w:val="20"/>
                <w:lang w:eastAsia="en-US"/>
              </w:rPr>
              <w:t>43 671,87</w:t>
            </w:r>
          </w:p>
        </w:tc>
      </w:tr>
      <w:tr w:rsidR="00986FB2" w14:paraId="77CD3367" w14:textId="77777777" w:rsidTr="00986FB2">
        <w:tc>
          <w:tcPr>
            <w:tcW w:w="6408" w:type="dxa"/>
            <w:tcBorders>
              <w:top w:val="single" w:sz="4" w:space="0" w:color="auto"/>
              <w:left w:val="single" w:sz="4" w:space="0" w:color="auto"/>
              <w:bottom w:val="single" w:sz="4" w:space="0" w:color="auto"/>
              <w:right w:val="single" w:sz="4" w:space="0" w:color="auto"/>
            </w:tcBorders>
            <w:shd w:val="clear" w:color="auto" w:fill="DEEAF6"/>
            <w:hideMark/>
          </w:tcPr>
          <w:p w14:paraId="5706F569" w14:textId="77777777" w:rsidR="00986FB2" w:rsidRPr="008B4710" w:rsidRDefault="00986FB2">
            <w:pPr>
              <w:spacing w:line="276" w:lineRule="auto"/>
              <w:rPr>
                <w:b/>
                <w:sz w:val="20"/>
                <w:szCs w:val="20"/>
                <w:lang w:eastAsia="en-US"/>
              </w:rPr>
            </w:pPr>
            <w:r>
              <w:rPr>
                <w:b/>
                <w:sz w:val="20"/>
                <w:szCs w:val="20"/>
                <w:lang w:eastAsia="en-US"/>
              </w:rPr>
              <w:t>Celková suma dlhu obce podľa §17/7 k </w:t>
            </w:r>
            <w:r>
              <w:rPr>
                <w:b/>
                <w:sz w:val="20"/>
                <w:szCs w:val="20"/>
                <w:highlight w:val="green"/>
                <w:lang w:eastAsia="en-US"/>
              </w:rPr>
              <w:t>31.12.2024</w:t>
            </w:r>
          </w:p>
        </w:tc>
        <w:tc>
          <w:tcPr>
            <w:tcW w:w="2544" w:type="dxa"/>
            <w:tcBorders>
              <w:top w:val="single" w:sz="4" w:space="0" w:color="auto"/>
              <w:left w:val="single" w:sz="4" w:space="0" w:color="auto"/>
              <w:bottom w:val="single" w:sz="4" w:space="0" w:color="auto"/>
              <w:right w:val="single" w:sz="4" w:space="0" w:color="auto"/>
            </w:tcBorders>
            <w:shd w:val="clear" w:color="auto" w:fill="DEEAF6"/>
            <w:hideMark/>
          </w:tcPr>
          <w:p w14:paraId="4101A96B" w14:textId="77777777" w:rsidR="00986FB2" w:rsidRDefault="00986FB2">
            <w:pPr>
              <w:spacing w:line="360" w:lineRule="auto"/>
              <w:jc w:val="right"/>
              <w:rPr>
                <w:b/>
                <w:lang w:eastAsia="en-US"/>
              </w:rPr>
            </w:pPr>
            <w:r>
              <w:rPr>
                <w:b/>
                <w:lang w:eastAsia="en-US"/>
              </w:rPr>
              <w:t>43 671,87</w:t>
            </w:r>
          </w:p>
        </w:tc>
      </w:tr>
      <w:tr w:rsidR="00986FB2" w14:paraId="3271CB14" w14:textId="77777777" w:rsidTr="00986FB2">
        <w:tc>
          <w:tcPr>
            <w:tcW w:w="6408" w:type="dxa"/>
            <w:tcBorders>
              <w:top w:val="single" w:sz="4" w:space="0" w:color="auto"/>
              <w:left w:val="single" w:sz="4" w:space="0" w:color="auto"/>
              <w:bottom w:val="single" w:sz="4" w:space="0" w:color="auto"/>
              <w:right w:val="single" w:sz="4" w:space="0" w:color="auto"/>
            </w:tcBorders>
            <w:hideMark/>
          </w:tcPr>
          <w:p w14:paraId="1639E5D7" w14:textId="77777777" w:rsidR="00986FB2" w:rsidRDefault="00986FB2">
            <w:pPr>
              <w:spacing w:line="360" w:lineRule="auto"/>
              <w:rPr>
                <w:sz w:val="20"/>
                <w:szCs w:val="20"/>
                <w:lang w:eastAsia="en-US"/>
              </w:rPr>
            </w:pPr>
            <w:r>
              <w:rPr>
                <w:b/>
                <w:sz w:val="20"/>
                <w:szCs w:val="20"/>
                <w:lang w:eastAsia="en-US"/>
              </w:rPr>
              <w:t>Do celkovej sumy sa nezapočítavajú záväzky podľa §17/8:</w:t>
            </w:r>
          </w:p>
        </w:tc>
        <w:tc>
          <w:tcPr>
            <w:tcW w:w="2544" w:type="dxa"/>
            <w:tcBorders>
              <w:top w:val="single" w:sz="4" w:space="0" w:color="auto"/>
              <w:left w:val="single" w:sz="4" w:space="0" w:color="auto"/>
              <w:bottom w:val="single" w:sz="4" w:space="0" w:color="auto"/>
              <w:right w:val="single" w:sz="4" w:space="0" w:color="auto"/>
            </w:tcBorders>
          </w:tcPr>
          <w:p w14:paraId="4633207A" w14:textId="77777777" w:rsidR="00986FB2" w:rsidRDefault="00986FB2">
            <w:pPr>
              <w:spacing w:line="276" w:lineRule="auto"/>
              <w:jc w:val="right"/>
              <w:rPr>
                <w:b/>
                <w:sz w:val="20"/>
                <w:szCs w:val="20"/>
                <w:lang w:eastAsia="en-US"/>
              </w:rPr>
            </w:pPr>
          </w:p>
        </w:tc>
      </w:tr>
      <w:tr w:rsidR="00986FB2" w14:paraId="2E5A5688" w14:textId="77777777" w:rsidTr="00986FB2">
        <w:tc>
          <w:tcPr>
            <w:tcW w:w="6408" w:type="dxa"/>
            <w:tcBorders>
              <w:top w:val="single" w:sz="4" w:space="0" w:color="auto"/>
              <w:left w:val="single" w:sz="4" w:space="0" w:color="auto"/>
              <w:bottom w:val="single" w:sz="4" w:space="0" w:color="auto"/>
              <w:right w:val="single" w:sz="4" w:space="0" w:color="auto"/>
            </w:tcBorders>
            <w:hideMark/>
          </w:tcPr>
          <w:p w14:paraId="5288812D" w14:textId="77777777" w:rsidR="00986FB2" w:rsidRPr="008B4710" w:rsidRDefault="00986FB2" w:rsidP="008B4710">
            <w:pPr>
              <w:numPr>
                <w:ilvl w:val="0"/>
                <w:numId w:val="9"/>
              </w:numPr>
              <w:tabs>
                <w:tab w:val="num" w:pos="318"/>
              </w:tabs>
              <w:spacing w:line="276" w:lineRule="auto"/>
              <w:ind w:left="318" w:hanging="142"/>
              <w:rPr>
                <w:b/>
                <w:sz w:val="20"/>
                <w:szCs w:val="20"/>
                <w:lang w:eastAsia="en-US"/>
              </w:rPr>
            </w:pPr>
            <w:r>
              <w:rPr>
                <w:sz w:val="20"/>
                <w:szCs w:val="20"/>
                <w:lang w:eastAsia="en-US"/>
              </w:rPr>
              <w:t xml:space="preserve">z úverov zo ŠFRB </w:t>
            </w:r>
          </w:p>
        </w:tc>
        <w:tc>
          <w:tcPr>
            <w:tcW w:w="2544" w:type="dxa"/>
            <w:tcBorders>
              <w:top w:val="single" w:sz="4" w:space="0" w:color="auto"/>
              <w:left w:val="single" w:sz="4" w:space="0" w:color="auto"/>
              <w:bottom w:val="single" w:sz="4" w:space="0" w:color="auto"/>
              <w:right w:val="single" w:sz="4" w:space="0" w:color="auto"/>
            </w:tcBorders>
            <w:hideMark/>
          </w:tcPr>
          <w:p w14:paraId="59D07D0E" w14:textId="77777777" w:rsidR="00986FB2" w:rsidRDefault="00986FB2">
            <w:pPr>
              <w:spacing w:line="276" w:lineRule="auto"/>
              <w:jc w:val="right"/>
              <w:rPr>
                <w:sz w:val="20"/>
                <w:szCs w:val="20"/>
                <w:lang w:eastAsia="en-US"/>
              </w:rPr>
            </w:pPr>
            <w:r>
              <w:rPr>
                <w:sz w:val="20"/>
                <w:szCs w:val="20"/>
                <w:lang w:eastAsia="en-US"/>
              </w:rPr>
              <w:t>0,00</w:t>
            </w:r>
          </w:p>
        </w:tc>
      </w:tr>
      <w:tr w:rsidR="00986FB2" w14:paraId="48A2A0A1" w14:textId="77777777" w:rsidTr="00986FB2">
        <w:tc>
          <w:tcPr>
            <w:tcW w:w="6408" w:type="dxa"/>
            <w:tcBorders>
              <w:top w:val="single" w:sz="4" w:space="0" w:color="auto"/>
              <w:left w:val="single" w:sz="4" w:space="0" w:color="auto"/>
              <w:bottom w:val="single" w:sz="4" w:space="0" w:color="auto"/>
              <w:right w:val="single" w:sz="4" w:space="0" w:color="auto"/>
            </w:tcBorders>
            <w:shd w:val="clear" w:color="auto" w:fill="D9D9D9"/>
            <w:hideMark/>
          </w:tcPr>
          <w:p w14:paraId="5AB66E14" w14:textId="77777777" w:rsidR="00986FB2" w:rsidRDefault="00986FB2">
            <w:pPr>
              <w:spacing w:line="276" w:lineRule="auto"/>
              <w:rPr>
                <w:b/>
                <w:sz w:val="20"/>
                <w:szCs w:val="20"/>
                <w:lang w:eastAsia="en-US"/>
              </w:rPr>
            </w:pPr>
            <w:r>
              <w:rPr>
                <w:b/>
                <w:sz w:val="20"/>
                <w:szCs w:val="20"/>
                <w:lang w:eastAsia="en-US"/>
              </w:rPr>
              <w:t>Spolu suma záväzkov, ktorá sa nezapočíta do celkovej sumy dlhu obce</w:t>
            </w:r>
          </w:p>
        </w:tc>
        <w:tc>
          <w:tcPr>
            <w:tcW w:w="2544" w:type="dxa"/>
            <w:tcBorders>
              <w:top w:val="single" w:sz="4" w:space="0" w:color="auto"/>
              <w:left w:val="single" w:sz="4" w:space="0" w:color="auto"/>
              <w:bottom w:val="single" w:sz="4" w:space="0" w:color="auto"/>
              <w:right w:val="single" w:sz="4" w:space="0" w:color="auto"/>
            </w:tcBorders>
            <w:shd w:val="clear" w:color="auto" w:fill="DEEAF6"/>
            <w:hideMark/>
          </w:tcPr>
          <w:p w14:paraId="23A9EAD5" w14:textId="77777777" w:rsidR="00986FB2" w:rsidRDefault="00986FB2">
            <w:pPr>
              <w:spacing w:line="360" w:lineRule="auto"/>
              <w:jc w:val="right"/>
              <w:rPr>
                <w:b/>
                <w:lang w:eastAsia="en-US"/>
              </w:rPr>
            </w:pPr>
            <w:r>
              <w:rPr>
                <w:b/>
                <w:lang w:eastAsia="en-US"/>
              </w:rPr>
              <w:t>0,00</w:t>
            </w:r>
          </w:p>
        </w:tc>
      </w:tr>
      <w:tr w:rsidR="00986FB2" w14:paraId="1DA18746" w14:textId="77777777" w:rsidTr="00986FB2">
        <w:tc>
          <w:tcPr>
            <w:tcW w:w="6408" w:type="dxa"/>
            <w:tcBorders>
              <w:top w:val="single" w:sz="4" w:space="0" w:color="auto"/>
              <w:left w:val="single" w:sz="4" w:space="0" w:color="auto"/>
              <w:bottom w:val="single" w:sz="4" w:space="0" w:color="auto"/>
              <w:right w:val="single" w:sz="4" w:space="0" w:color="auto"/>
            </w:tcBorders>
            <w:shd w:val="clear" w:color="auto" w:fill="F7CAAC"/>
            <w:hideMark/>
          </w:tcPr>
          <w:p w14:paraId="21F9239F" w14:textId="77777777" w:rsidR="00986FB2" w:rsidRDefault="00986FB2">
            <w:pPr>
              <w:spacing w:line="276" w:lineRule="auto"/>
              <w:rPr>
                <w:sz w:val="20"/>
                <w:szCs w:val="20"/>
                <w:lang w:eastAsia="en-US"/>
              </w:rPr>
            </w:pPr>
            <w:r>
              <w:rPr>
                <w:b/>
                <w:sz w:val="20"/>
                <w:szCs w:val="20"/>
                <w:lang w:eastAsia="en-US"/>
              </w:rPr>
              <w:t>Celková suma dlhu obce upravená podľa §17/8 k </w:t>
            </w:r>
            <w:r>
              <w:rPr>
                <w:b/>
                <w:sz w:val="20"/>
                <w:szCs w:val="20"/>
                <w:highlight w:val="green"/>
                <w:lang w:eastAsia="en-US"/>
              </w:rPr>
              <w:t>31.12.2024</w:t>
            </w:r>
          </w:p>
        </w:tc>
        <w:tc>
          <w:tcPr>
            <w:tcW w:w="2544" w:type="dxa"/>
            <w:tcBorders>
              <w:top w:val="single" w:sz="4" w:space="0" w:color="auto"/>
              <w:left w:val="single" w:sz="4" w:space="0" w:color="auto"/>
              <w:bottom w:val="single" w:sz="4" w:space="0" w:color="auto"/>
              <w:right w:val="single" w:sz="4" w:space="0" w:color="auto"/>
            </w:tcBorders>
            <w:shd w:val="clear" w:color="auto" w:fill="F7CAAC"/>
            <w:hideMark/>
          </w:tcPr>
          <w:p w14:paraId="6DD84A26" w14:textId="77777777" w:rsidR="00986FB2" w:rsidRDefault="00986FB2">
            <w:pPr>
              <w:spacing w:line="360" w:lineRule="auto"/>
              <w:jc w:val="right"/>
              <w:rPr>
                <w:b/>
                <w:lang w:eastAsia="en-US"/>
              </w:rPr>
            </w:pPr>
            <w:r>
              <w:rPr>
                <w:b/>
                <w:lang w:eastAsia="en-US"/>
              </w:rPr>
              <w:t>43 671,87</w:t>
            </w:r>
          </w:p>
        </w:tc>
      </w:tr>
    </w:tbl>
    <w:p w14:paraId="58CF3875" w14:textId="77777777" w:rsidR="00986FB2" w:rsidRDefault="00986FB2" w:rsidP="00986FB2">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2991"/>
        <w:gridCol w:w="3320"/>
      </w:tblGrid>
      <w:tr w:rsidR="00986FB2" w14:paraId="628A84D4" w14:textId="77777777" w:rsidTr="00986FB2">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20B5CAE8" w14:textId="77777777" w:rsidR="00986FB2" w:rsidRDefault="00986FB2">
            <w:pPr>
              <w:spacing w:line="276" w:lineRule="auto"/>
              <w:jc w:val="center"/>
              <w:rPr>
                <w:b/>
                <w:sz w:val="20"/>
                <w:szCs w:val="20"/>
                <w:lang w:eastAsia="en-US"/>
              </w:rPr>
            </w:pPr>
            <w:r>
              <w:rPr>
                <w:b/>
                <w:sz w:val="20"/>
                <w:szCs w:val="20"/>
                <w:lang w:eastAsia="en-US"/>
              </w:rPr>
              <w:t>Celková suma dlhu obce upravená podľa §17/8 k 31.12.2024</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7935D70E" w14:textId="77777777" w:rsidR="00986FB2" w:rsidRDefault="00986FB2">
            <w:pPr>
              <w:spacing w:line="276" w:lineRule="auto"/>
              <w:jc w:val="center"/>
              <w:rPr>
                <w:b/>
                <w:sz w:val="20"/>
                <w:szCs w:val="20"/>
                <w:lang w:eastAsia="en-US"/>
              </w:rPr>
            </w:pPr>
            <w:r>
              <w:rPr>
                <w:b/>
                <w:sz w:val="20"/>
                <w:szCs w:val="20"/>
                <w:lang w:eastAsia="en-US"/>
              </w:rPr>
              <w:t>Úhrn bežných príjmov obce a RO  k 31.12.2023</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21883DCE" w14:textId="77777777" w:rsidR="00986FB2" w:rsidRDefault="00986FB2">
            <w:pPr>
              <w:spacing w:line="276" w:lineRule="auto"/>
              <w:jc w:val="center"/>
              <w:rPr>
                <w:b/>
                <w:sz w:val="20"/>
                <w:szCs w:val="20"/>
                <w:lang w:eastAsia="en-US"/>
              </w:rPr>
            </w:pPr>
            <w:r>
              <w:rPr>
                <w:b/>
                <w:sz w:val="20"/>
                <w:szCs w:val="20"/>
                <w:lang w:eastAsia="en-US"/>
              </w:rPr>
              <w:t>Dlh obce</w:t>
            </w:r>
          </w:p>
          <w:p w14:paraId="02B7DC49" w14:textId="77777777" w:rsidR="00986FB2" w:rsidRDefault="00986FB2">
            <w:pPr>
              <w:spacing w:line="276" w:lineRule="auto"/>
              <w:jc w:val="center"/>
              <w:rPr>
                <w:b/>
                <w:sz w:val="20"/>
                <w:szCs w:val="20"/>
                <w:lang w:eastAsia="en-US"/>
              </w:rPr>
            </w:pPr>
            <w:r>
              <w:rPr>
                <w:b/>
                <w:sz w:val="20"/>
                <w:szCs w:val="20"/>
                <w:lang w:eastAsia="en-US"/>
              </w:rPr>
              <w:t>§ 17 ods.6 písm. a)</w:t>
            </w:r>
          </w:p>
        </w:tc>
      </w:tr>
      <w:tr w:rsidR="00986FB2" w14:paraId="1D99F935" w14:textId="77777777" w:rsidTr="00986FB2">
        <w:tc>
          <w:tcPr>
            <w:tcW w:w="3119" w:type="dxa"/>
            <w:tcBorders>
              <w:top w:val="single" w:sz="4" w:space="0" w:color="auto"/>
              <w:left w:val="single" w:sz="4" w:space="0" w:color="auto"/>
              <w:bottom w:val="single" w:sz="4" w:space="0" w:color="auto"/>
              <w:right w:val="single" w:sz="4" w:space="0" w:color="auto"/>
            </w:tcBorders>
            <w:hideMark/>
          </w:tcPr>
          <w:p w14:paraId="7716AE94" w14:textId="77777777" w:rsidR="00986FB2" w:rsidRDefault="00986FB2">
            <w:pPr>
              <w:spacing w:line="276" w:lineRule="auto"/>
              <w:jc w:val="center"/>
              <w:rPr>
                <w:lang w:eastAsia="en-US"/>
              </w:rPr>
            </w:pPr>
            <w:r>
              <w:rPr>
                <w:lang w:eastAsia="en-US"/>
              </w:rPr>
              <w:t>43 671,87</w:t>
            </w:r>
          </w:p>
        </w:tc>
        <w:tc>
          <w:tcPr>
            <w:tcW w:w="3260" w:type="dxa"/>
            <w:tcBorders>
              <w:top w:val="single" w:sz="4" w:space="0" w:color="auto"/>
              <w:left w:val="single" w:sz="4" w:space="0" w:color="auto"/>
              <w:bottom w:val="single" w:sz="4" w:space="0" w:color="auto"/>
              <w:right w:val="single" w:sz="4" w:space="0" w:color="auto"/>
            </w:tcBorders>
            <w:hideMark/>
          </w:tcPr>
          <w:p w14:paraId="3C345462" w14:textId="77777777" w:rsidR="00986FB2" w:rsidRDefault="00986FB2">
            <w:pPr>
              <w:spacing w:line="276" w:lineRule="auto"/>
              <w:jc w:val="center"/>
              <w:rPr>
                <w:lang w:eastAsia="en-US"/>
              </w:rPr>
            </w:pPr>
            <w:r>
              <w:rPr>
                <w:lang w:eastAsia="en-US"/>
              </w:rPr>
              <w:t>400 378,86</w:t>
            </w:r>
          </w:p>
        </w:tc>
        <w:tc>
          <w:tcPr>
            <w:tcW w:w="3544" w:type="dxa"/>
            <w:tcBorders>
              <w:top w:val="single" w:sz="4" w:space="0" w:color="auto"/>
              <w:left w:val="single" w:sz="4" w:space="0" w:color="auto"/>
              <w:bottom w:val="single" w:sz="4" w:space="0" w:color="auto"/>
              <w:right w:val="single" w:sz="4" w:space="0" w:color="auto"/>
            </w:tcBorders>
            <w:hideMark/>
          </w:tcPr>
          <w:p w14:paraId="3E960DBE" w14:textId="77777777" w:rsidR="00986FB2" w:rsidRDefault="00986FB2">
            <w:pPr>
              <w:tabs>
                <w:tab w:val="left" w:pos="1155"/>
                <w:tab w:val="center" w:pos="1664"/>
              </w:tabs>
              <w:spacing w:line="276" w:lineRule="auto"/>
              <w:rPr>
                <w:b/>
                <w:lang w:eastAsia="en-US"/>
              </w:rPr>
            </w:pPr>
            <w:r>
              <w:rPr>
                <w:b/>
                <w:lang w:eastAsia="en-US"/>
              </w:rPr>
              <w:tab/>
              <w:t>10,90 %</w:t>
            </w:r>
          </w:p>
        </w:tc>
      </w:tr>
    </w:tbl>
    <w:p w14:paraId="36FA2F29" w14:textId="77777777" w:rsidR="00986FB2" w:rsidRDefault="00986FB2" w:rsidP="00986FB2">
      <w:pPr>
        <w:jc w:val="both"/>
      </w:pPr>
    </w:p>
    <w:p w14:paraId="36F0079E" w14:textId="230684E4" w:rsidR="009E1344" w:rsidRDefault="00986FB2" w:rsidP="00986FB2">
      <w:pPr>
        <w:jc w:val="both"/>
        <w:rPr>
          <w:b/>
        </w:rPr>
      </w:pPr>
      <w:r>
        <w:t>Zákonná podmienka podľa § 17 ods.6 písm. a) zákona č.583/2004 Z</w:t>
      </w:r>
      <w:r w:rsidR="00D24837">
        <w:t xml:space="preserve">. </w:t>
      </w:r>
      <w:r>
        <w:t xml:space="preserve">z. </w:t>
      </w:r>
      <w:r>
        <w:rPr>
          <w:b/>
        </w:rPr>
        <w:t>bola splnená.</w:t>
      </w:r>
    </w:p>
    <w:p w14:paraId="31611C6E" w14:textId="77777777" w:rsidR="00986FB2" w:rsidRDefault="00986FB2" w:rsidP="00986FB2">
      <w:pPr>
        <w:jc w:val="both"/>
      </w:pPr>
      <w:r>
        <w:t xml:space="preserve"> </w:t>
      </w:r>
    </w:p>
    <w:p w14:paraId="758C6E3E" w14:textId="2493BD01" w:rsidR="00986FB2" w:rsidRDefault="00986FB2" w:rsidP="00986FB2">
      <w:pPr>
        <w:numPr>
          <w:ilvl w:val="0"/>
          <w:numId w:val="2"/>
        </w:numPr>
        <w:ind w:left="284" w:hanging="284"/>
        <w:jc w:val="both"/>
        <w:rPr>
          <w:b/>
        </w:rPr>
      </w:pPr>
      <w:r>
        <w:rPr>
          <w:b/>
          <w:color w:val="FF0000"/>
        </w:rPr>
        <w:t>Výpočet dlhovej služby obce</w:t>
      </w:r>
      <w:r>
        <w:rPr>
          <w:b/>
        </w:rPr>
        <w:t xml:space="preserve"> podľa § 17 ods.6 písm. b) zákona č.</w:t>
      </w:r>
      <w:r w:rsidR="00D24837">
        <w:rPr>
          <w:b/>
        </w:rPr>
        <w:t xml:space="preserve"> </w:t>
      </w:r>
      <w:r>
        <w:rPr>
          <w:b/>
        </w:rPr>
        <w:t>583/2004 Z.</w:t>
      </w:r>
      <w:r w:rsidR="00D24837">
        <w:rPr>
          <w:b/>
        </w:rPr>
        <w:t xml:space="preserve"> </w:t>
      </w:r>
      <w:r>
        <w:rPr>
          <w:b/>
        </w:rPr>
        <w:t>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2"/>
        <w:gridCol w:w="3296"/>
      </w:tblGrid>
      <w:tr w:rsidR="00986FB2" w14:paraId="5922C569"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D9D9D9"/>
          </w:tcPr>
          <w:p w14:paraId="276E28E6" w14:textId="77777777" w:rsidR="00986FB2" w:rsidRDefault="00986FB2">
            <w:pPr>
              <w:spacing w:line="276" w:lineRule="auto"/>
              <w:jc w:val="center"/>
              <w:rPr>
                <w:b/>
                <w:sz w:val="18"/>
                <w:szCs w:val="18"/>
                <w:lang w:eastAsia="en-US"/>
              </w:rPr>
            </w:pPr>
          </w:p>
          <w:p w14:paraId="4823DA71" w14:textId="77777777" w:rsidR="00986FB2" w:rsidRDefault="00986FB2">
            <w:pPr>
              <w:spacing w:line="276" w:lineRule="auto"/>
              <w:jc w:val="center"/>
              <w:rPr>
                <w:b/>
                <w:sz w:val="18"/>
                <w:szCs w:val="18"/>
                <w:lang w:eastAsia="en-US"/>
              </w:rPr>
            </w:pPr>
            <w:r>
              <w:rPr>
                <w:b/>
                <w:sz w:val="18"/>
                <w:szCs w:val="18"/>
                <w:lang w:eastAsia="en-US"/>
              </w:rPr>
              <w:t>Text</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2280078E" w14:textId="77777777" w:rsidR="00986FB2" w:rsidRDefault="00986FB2">
            <w:pPr>
              <w:spacing w:line="276" w:lineRule="auto"/>
              <w:jc w:val="center"/>
              <w:rPr>
                <w:b/>
                <w:sz w:val="18"/>
                <w:szCs w:val="18"/>
                <w:lang w:eastAsia="en-US"/>
              </w:rPr>
            </w:pPr>
          </w:p>
          <w:p w14:paraId="24AE98A5" w14:textId="77777777" w:rsidR="00986FB2" w:rsidRDefault="00986FB2">
            <w:pPr>
              <w:spacing w:line="276" w:lineRule="auto"/>
              <w:jc w:val="center"/>
              <w:rPr>
                <w:b/>
                <w:sz w:val="18"/>
                <w:szCs w:val="18"/>
                <w:lang w:eastAsia="en-US"/>
              </w:rPr>
            </w:pPr>
            <w:r>
              <w:rPr>
                <w:b/>
                <w:sz w:val="18"/>
                <w:szCs w:val="18"/>
                <w:lang w:eastAsia="en-US"/>
              </w:rPr>
              <w:t>Suma v EUR</w:t>
            </w:r>
          </w:p>
        </w:tc>
      </w:tr>
      <w:tr w:rsidR="00986FB2" w14:paraId="0090D547"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2F2F2"/>
            <w:hideMark/>
          </w:tcPr>
          <w:p w14:paraId="25FC3453" w14:textId="77777777" w:rsidR="00986FB2" w:rsidRDefault="00986FB2">
            <w:pPr>
              <w:spacing w:line="276" w:lineRule="auto"/>
              <w:rPr>
                <w:b/>
                <w:sz w:val="20"/>
                <w:szCs w:val="20"/>
                <w:lang w:eastAsia="en-US"/>
              </w:rPr>
            </w:pPr>
            <w:r>
              <w:rPr>
                <w:b/>
                <w:sz w:val="20"/>
                <w:szCs w:val="20"/>
                <w:lang w:eastAsia="en-US"/>
              </w:rPr>
              <w:t>Bežné príjmy z finančného výkazu FIN 1-12 k </w:t>
            </w:r>
            <w:r>
              <w:rPr>
                <w:b/>
                <w:sz w:val="20"/>
                <w:szCs w:val="20"/>
                <w:highlight w:val="green"/>
                <w:lang w:eastAsia="en-US"/>
              </w:rPr>
              <w:t>31.12.2023:</w:t>
            </w:r>
          </w:p>
        </w:tc>
        <w:tc>
          <w:tcPr>
            <w:tcW w:w="3544" w:type="dxa"/>
            <w:tcBorders>
              <w:top w:val="single" w:sz="4" w:space="0" w:color="auto"/>
              <w:left w:val="single" w:sz="4" w:space="0" w:color="auto"/>
              <w:bottom w:val="single" w:sz="4" w:space="0" w:color="auto"/>
              <w:right w:val="single" w:sz="4" w:space="0" w:color="auto"/>
            </w:tcBorders>
          </w:tcPr>
          <w:p w14:paraId="57700C33" w14:textId="77777777" w:rsidR="00986FB2" w:rsidRDefault="00986FB2">
            <w:pPr>
              <w:spacing w:line="360" w:lineRule="auto"/>
              <w:jc w:val="right"/>
              <w:rPr>
                <w:b/>
                <w:sz w:val="20"/>
                <w:szCs w:val="20"/>
                <w:lang w:eastAsia="en-US"/>
              </w:rPr>
            </w:pPr>
          </w:p>
        </w:tc>
      </w:tr>
      <w:tr w:rsidR="00986FB2" w14:paraId="06CFAD1E" w14:textId="77777777" w:rsidTr="00986FB2">
        <w:tc>
          <w:tcPr>
            <w:tcW w:w="6379" w:type="dxa"/>
            <w:tcBorders>
              <w:top w:val="single" w:sz="4" w:space="0" w:color="auto"/>
              <w:left w:val="single" w:sz="4" w:space="0" w:color="auto"/>
              <w:bottom w:val="single" w:sz="4" w:space="0" w:color="auto"/>
              <w:right w:val="single" w:sz="4" w:space="0" w:color="auto"/>
            </w:tcBorders>
            <w:hideMark/>
          </w:tcPr>
          <w:p w14:paraId="4F52A29D"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 xml:space="preserve">bežné príjmy </w:t>
            </w:r>
            <w:r>
              <w:rPr>
                <w:color w:val="FF0000"/>
                <w:sz w:val="20"/>
                <w:szCs w:val="20"/>
                <w:lang w:eastAsia="en-US"/>
              </w:rPr>
              <w:t xml:space="preserve">obce </w:t>
            </w:r>
          </w:p>
        </w:tc>
        <w:tc>
          <w:tcPr>
            <w:tcW w:w="3544" w:type="dxa"/>
            <w:tcBorders>
              <w:top w:val="single" w:sz="4" w:space="0" w:color="auto"/>
              <w:left w:val="single" w:sz="4" w:space="0" w:color="auto"/>
              <w:bottom w:val="single" w:sz="4" w:space="0" w:color="auto"/>
              <w:right w:val="single" w:sz="4" w:space="0" w:color="auto"/>
            </w:tcBorders>
            <w:hideMark/>
          </w:tcPr>
          <w:p w14:paraId="3035461E" w14:textId="77777777" w:rsidR="00986FB2" w:rsidRDefault="00986FB2">
            <w:pPr>
              <w:spacing w:line="276" w:lineRule="auto"/>
              <w:jc w:val="right"/>
              <w:rPr>
                <w:sz w:val="20"/>
                <w:szCs w:val="20"/>
                <w:lang w:eastAsia="en-US"/>
              </w:rPr>
            </w:pPr>
            <w:r>
              <w:rPr>
                <w:sz w:val="20"/>
                <w:szCs w:val="20"/>
                <w:lang w:eastAsia="en-US"/>
              </w:rPr>
              <w:t>400 378,86</w:t>
            </w:r>
          </w:p>
        </w:tc>
      </w:tr>
      <w:tr w:rsidR="00986FB2" w14:paraId="0D539FF3"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DEEAF6"/>
            <w:hideMark/>
          </w:tcPr>
          <w:p w14:paraId="6830FE8F" w14:textId="77777777" w:rsidR="00986FB2" w:rsidRPr="008B4710" w:rsidRDefault="00986FB2">
            <w:pPr>
              <w:spacing w:line="276" w:lineRule="auto"/>
              <w:rPr>
                <w:b/>
                <w:sz w:val="20"/>
                <w:szCs w:val="20"/>
                <w:lang w:eastAsia="en-US"/>
              </w:rPr>
            </w:pPr>
            <w:r>
              <w:rPr>
                <w:b/>
                <w:sz w:val="20"/>
                <w:szCs w:val="20"/>
                <w:lang w:eastAsia="en-US"/>
              </w:rPr>
              <w:t>Úhrn bežných príjmov obce a RO k </w:t>
            </w:r>
            <w:r>
              <w:rPr>
                <w:b/>
                <w:sz w:val="20"/>
                <w:szCs w:val="20"/>
                <w:highlight w:val="green"/>
                <w:lang w:eastAsia="en-US"/>
              </w:rPr>
              <w:t>31.12.2023</w:t>
            </w:r>
          </w:p>
        </w:tc>
        <w:tc>
          <w:tcPr>
            <w:tcW w:w="3544" w:type="dxa"/>
            <w:tcBorders>
              <w:top w:val="single" w:sz="4" w:space="0" w:color="auto"/>
              <w:left w:val="single" w:sz="4" w:space="0" w:color="auto"/>
              <w:bottom w:val="single" w:sz="4" w:space="0" w:color="auto"/>
              <w:right w:val="single" w:sz="4" w:space="0" w:color="auto"/>
            </w:tcBorders>
            <w:shd w:val="clear" w:color="auto" w:fill="DEEAF6"/>
          </w:tcPr>
          <w:p w14:paraId="3AA2A9AA" w14:textId="77777777" w:rsidR="00986FB2" w:rsidRDefault="00986FB2">
            <w:pPr>
              <w:spacing w:line="360" w:lineRule="auto"/>
              <w:jc w:val="right"/>
              <w:rPr>
                <w:b/>
                <w:lang w:eastAsia="en-US"/>
              </w:rPr>
            </w:pPr>
          </w:p>
        </w:tc>
      </w:tr>
      <w:tr w:rsidR="00986FB2" w14:paraId="160F4BE2"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C2BE1CD" w14:textId="77777777" w:rsidR="00986FB2" w:rsidRDefault="00986FB2">
            <w:pPr>
              <w:spacing w:line="360" w:lineRule="auto"/>
              <w:rPr>
                <w:b/>
                <w:sz w:val="20"/>
                <w:szCs w:val="20"/>
                <w:lang w:eastAsia="en-US"/>
              </w:rPr>
            </w:pPr>
            <w:r>
              <w:rPr>
                <w:b/>
                <w:sz w:val="20"/>
                <w:szCs w:val="20"/>
                <w:lang w:eastAsia="en-US"/>
              </w:rPr>
              <w:t>Bežné príjmy obce a RO znížené/upravené o účelovo určené:</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A825BFA" w14:textId="77777777" w:rsidR="00986FB2" w:rsidRDefault="00986FB2">
            <w:pPr>
              <w:spacing w:line="276" w:lineRule="auto"/>
              <w:jc w:val="right"/>
              <w:rPr>
                <w:b/>
                <w:sz w:val="20"/>
                <w:szCs w:val="20"/>
                <w:lang w:eastAsia="en-US"/>
              </w:rPr>
            </w:pPr>
          </w:p>
        </w:tc>
      </w:tr>
      <w:tr w:rsidR="00986FB2" w14:paraId="24CE6C5F"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3DECA35"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dotácie na prenesený výkon štátnej správy</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75003A6D" w14:textId="77777777" w:rsidR="00986FB2" w:rsidRDefault="00986FB2">
            <w:pPr>
              <w:spacing w:line="276" w:lineRule="auto"/>
              <w:jc w:val="right"/>
              <w:rPr>
                <w:sz w:val="20"/>
                <w:szCs w:val="20"/>
                <w:lang w:eastAsia="en-US"/>
              </w:rPr>
            </w:pPr>
            <w:r>
              <w:rPr>
                <w:sz w:val="20"/>
                <w:szCs w:val="20"/>
                <w:lang w:eastAsia="en-US"/>
              </w:rPr>
              <w:t>98 269,54</w:t>
            </w:r>
          </w:p>
        </w:tc>
      </w:tr>
      <w:tr w:rsidR="00986FB2" w14:paraId="427386F9"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1E204D42"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dotácie zo ŠR</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5840A129" w14:textId="77777777" w:rsidR="00986FB2" w:rsidRDefault="00986FB2">
            <w:pPr>
              <w:spacing w:line="276" w:lineRule="auto"/>
              <w:rPr>
                <w:rFonts w:asciiTheme="minorHAnsi" w:eastAsiaTheme="minorHAnsi" w:hAnsiTheme="minorHAnsi" w:cstheme="minorBidi"/>
                <w:lang w:eastAsia="en-US"/>
              </w:rPr>
            </w:pPr>
          </w:p>
        </w:tc>
      </w:tr>
      <w:tr w:rsidR="00986FB2" w14:paraId="15C484B1"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650DD991"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dotácie z MF SR ....</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5F608B15" w14:textId="77777777" w:rsidR="00986FB2" w:rsidRDefault="00986FB2">
            <w:pPr>
              <w:spacing w:line="276" w:lineRule="auto"/>
              <w:rPr>
                <w:rFonts w:asciiTheme="minorHAnsi" w:eastAsiaTheme="minorHAnsi" w:hAnsiTheme="minorHAnsi" w:cstheme="minorBidi"/>
                <w:lang w:eastAsia="en-US"/>
              </w:rPr>
            </w:pPr>
          </w:p>
        </w:tc>
      </w:tr>
      <w:tr w:rsidR="00986FB2" w14:paraId="347774C6"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DEEAF6"/>
            <w:hideMark/>
          </w:tcPr>
          <w:p w14:paraId="2F232888" w14:textId="77777777" w:rsidR="00986FB2" w:rsidRDefault="00986FB2">
            <w:pPr>
              <w:spacing w:line="276" w:lineRule="auto"/>
              <w:rPr>
                <w:b/>
                <w:sz w:val="20"/>
                <w:szCs w:val="20"/>
                <w:lang w:eastAsia="en-US"/>
              </w:rPr>
            </w:pPr>
            <w:r>
              <w:rPr>
                <w:b/>
                <w:sz w:val="20"/>
                <w:szCs w:val="20"/>
                <w:lang w:eastAsia="en-US"/>
              </w:rPr>
              <w:t xml:space="preserve">Spolu bežné príjmy obce a RO účelovo určené, o ktoré sa znižujú bežné príjmy k 31.12.2023 </w:t>
            </w:r>
          </w:p>
        </w:tc>
        <w:tc>
          <w:tcPr>
            <w:tcW w:w="3544" w:type="dxa"/>
            <w:tcBorders>
              <w:top w:val="single" w:sz="4" w:space="0" w:color="auto"/>
              <w:left w:val="single" w:sz="4" w:space="0" w:color="auto"/>
              <w:bottom w:val="single" w:sz="4" w:space="0" w:color="auto"/>
              <w:right w:val="single" w:sz="4" w:space="0" w:color="auto"/>
            </w:tcBorders>
            <w:shd w:val="clear" w:color="auto" w:fill="DEEAF6"/>
            <w:hideMark/>
          </w:tcPr>
          <w:p w14:paraId="72D6C604" w14:textId="77777777" w:rsidR="00986FB2" w:rsidRDefault="00986FB2">
            <w:pPr>
              <w:spacing w:line="276" w:lineRule="auto"/>
              <w:jc w:val="right"/>
              <w:rPr>
                <w:b/>
                <w:lang w:eastAsia="en-US"/>
              </w:rPr>
            </w:pPr>
            <w:r>
              <w:rPr>
                <w:b/>
                <w:lang w:eastAsia="en-US"/>
              </w:rPr>
              <w:t>98 269,54</w:t>
            </w:r>
          </w:p>
        </w:tc>
      </w:tr>
      <w:tr w:rsidR="00986FB2" w14:paraId="1D1D98AD"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7CAAC"/>
            <w:hideMark/>
          </w:tcPr>
          <w:p w14:paraId="65C7AA5E" w14:textId="77777777" w:rsidR="00986FB2" w:rsidRDefault="00986FB2">
            <w:pPr>
              <w:spacing w:line="276" w:lineRule="auto"/>
              <w:rPr>
                <w:b/>
                <w:sz w:val="20"/>
                <w:szCs w:val="20"/>
                <w:lang w:eastAsia="en-US"/>
              </w:rPr>
            </w:pPr>
            <w:r>
              <w:rPr>
                <w:b/>
                <w:sz w:val="20"/>
                <w:szCs w:val="20"/>
                <w:lang w:eastAsia="en-US"/>
              </w:rPr>
              <w:t>Úhrn upravených bežných príjmov obce a RO k </w:t>
            </w:r>
            <w:r>
              <w:rPr>
                <w:b/>
                <w:sz w:val="20"/>
                <w:szCs w:val="20"/>
                <w:highlight w:val="green"/>
                <w:lang w:eastAsia="en-US"/>
              </w:rPr>
              <w:t>31.12.2023</w:t>
            </w:r>
          </w:p>
        </w:tc>
        <w:tc>
          <w:tcPr>
            <w:tcW w:w="3544" w:type="dxa"/>
            <w:tcBorders>
              <w:top w:val="single" w:sz="4" w:space="0" w:color="auto"/>
              <w:left w:val="single" w:sz="4" w:space="0" w:color="auto"/>
              <w:bottom w:val="single" w:sz="4" w:space="0" w:color="auto"/>
              <w:right w:val="single" w:sz="4" w:space="0" w:color="auto"/>
            </w:tcBorders>
            <w:shd w:val="clear" w:color="auto" w:fill="F7CAAC"/>
            <w:hideMark/>
          </w:tcPr>
          <w:p w14:paraId="37DFBB34" w14:textId="77777777" w:rsidR="00986FB2" w:rsidRDefault="00986FB2">
            <w:pPr>
              <w:spacing w:line="360" w:lineRule="auto"/>
              <w:jc w:val="right"/>
              <w:rPr>
                <w:b/>
                <w:lang w:eastAsia="en-US"/>
              </w:rPr>
            </w:pPr>
            <w:r>
              <w:rPr>
                <w:b/>
                <w:lang w:eastAsia="en-US"/>
              </w:rPr>
              <w:t>302 109,32</w:t>
            </w:r>
          </w:p>
        </w:tc>
      </w:tr>
      <w:tr w:rsidR="00986FB2" w14:paraId="63F8E3A2"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2F2F2"/>
            <w:hideMark/>
          </w:tcPr>
          <w:p w14:paraId="1376F613" w14:textId="77777777" w:rsidR="00986FB2" w:rsidRDefault="00986FB2">
            <w:pPr>
              <w:spacing w:line="276" w:lineRule="auto"/>
              <w:rPr>
                <w:b/>
                <w:sz w:val="20"/>
                <w:szCs w:val="20"/>
                <w:lang w:eastAsia="en-US"/>
              </w:rPr>
            </w:pPr>
            <w:r>
              <w:rPr>
                <w:b/>
                <w:sz w:val="20"/>
                <w:szCs w:val="20"/>
                <w:lang w:eastAsia="en-US"/>
              </w:rPr>
              <w:t>Splátky istiny a úrokov z finančného výkazu FIN 1-12 k </w:t>
            </w:r>
            <w:r>
              <w:rPr>
                <w:b/>
                <w:sz w:val="20"/>
                <w:szCs w:val="20"/>
                <w:highlight w:val="green"/>
                <w:lang w:eastAsia="en-US"/>
              </w:rPr>
              <w:t>31.12.2024</w:t>
            </w:r>
            <w:r>
              <w:rPr>
                <w:b/>
                <w:sz w:val="20"/>
                <w:szCs w:val="20"/>
                <w:lang w:eastAsia="en-US"/>
              </w:rPr>
              <w:t xml:space="preserve"> </w:t>
            </w:r>
            <w:r>
              <w:rPr>
                <w:b/>
                <w:color w:val="FF0000"/>
                <w:sz w:val="20"/>
                <w:szCs w:val="20"/>
                <w:lang w:eastAsia="en-US"/>
              </w:rPr>
              <w:t>s výnimkou</w:t>
            </w:r>
            <w:r>
              <w:rPr>
                <w:b/>
                <w:sz w:val="20"/>
                <w:szCs w:val="20"/>
                <w:lang w:eastAsia="en-US"/>
              </w:rPr>
              <w:t xml:space="preserve"> jednorazového predčasného splatenia: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5CAE67B" w14:textId="77777777" w:rsidR="00986FB2" w:rsidRDefault="00986FB2">
            <w:pPr>
              <w:spacing w:line="276" w:lineRule="auto"/>
              <w:jc w:val="right"/>
              <w:rPr>
                <w:b/>
                <w:sz w:val="20"/>
                <w:szCs w:val="20"/>
                <w:lang w:eastAsia="en-US"/>
              </w:rPr>
            </w:pPr>
          </w:p>
        </w:tc>
      </w:tr>
      <w:tr w:rsidR="00986FB2" w14:paraId="0B3EEFB4"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5E41ADB8" w14:textId="77777777" w:rsidR="00986FB2" w:rsidRDefault="00986FB2" w:rsidP="00986FB2">
            <w:pPr>
              <w:numPr>
                <w:ilvl w:val="0"/>
                <w:numId w:val="9"/>
              </w:numPr>
              <w:tabs>
                <w:tab w:val="num" w:pos="318"/>
              </w:tabs>
              <w:spacing w:line="276" w:lineRule="auto"/>
              <w:ind w:left="318" w:hanging="142"/>
              <w:rPr>
                <w:sz w:val="20"/>
                <w:szCs w:val="20"/>
                <w:lang w:eastAsia="en-US"/>
              </w:rPr>
            </w:pPr>
            <w:r>
              <w:rPr>
                <w:sz w:val="20"/>
                <w:szCs w:val="20"/>
                <w:lang w:eastAsia="en-US"/>
              </w:rPr>
              <w:t>821006splátka istiny z krátkodobého bankového úveru</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8B24CF4" w14:textId="77777777" w:rsidR="00986FB2" w:rsidRDefault="00986FB2">
            <w:pPr>
              <w:spacing w:line="276" w:lineRule="auto"/>
              <w:jc w:val="right"/>
              <w:rPr>
                <w:sz w:val="20"/>
                <w:szCs w:val="20"/>
                <w:lang w:eastAsia="en-US"/>
              </w:rPr>
            </w:pPr>
            <w:r>
              <w:rPr>
                <w:sz w:val="20"/>
                <w:szCs w:val="20"/>
                <w:lang w:eastAsia="en-US"/>
              </w:rPr>
              <w:t>4 140,00</w:t>
            </w:r>
          </w:p>
        </w:tc>
      </w:tr>
      <w:tr w:rsidR="00986FB2" w14:paraId="7C3A365C"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FFFFF"/>
            <w:hideMark/>
          </w:tcPr>
          <w:p w14:paraId="087E95AD" w14:textId="77777777" w:rsidR="00986FB2" w:rsidRDefault="00986FB2" w:rsidP="00986FB2">
            <w:pPr>
              <w:numPr>
                <w:ilvl w:val="0"/>
                <w:numId w:val="9"/>
              </w:numPr>
              <w:tabs>
                <w:tab w:val="num" w:pos="318"/>
              </w:tabs>
              <w:spacing w:line="276" w:lineRule="auto"/>
              <w:ind w:left="318" w:hanging="142"/>
              <w:rPr>
                <w:b/>
                <w:sz w:val="20"/>
                <w:szCs w:val="20"/>
                <w:lang w:eastAsia="en-US"/>
              </w:rPr>
            </w:pPr>
            <w:r>
              <w:rPr>
                <w:sz w:val="20"/>
                <w:szCs w:val="20"/>
                <w:lang w:eastAsia="en-US"/>
              </w:rPr>
              <w:t>651002 splátka úrokov z bankového úveru</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7B40B3AF" w14:textId="77777777" w:rsidR="00986FB2" w:rsidRDefault="00986FB2">
            <w:pPr>
              <w:spacing w:line="276" w:lineRule="auto"/>
              <w:jc w:val="right"/>
              <w:rPr>
                <w:sz w:val="20"/>
                <w:szCs w:val="20"/>
                <w:lang w:eastAsia="en-US"/>
              </w:rPr>
            </w:pPr>
            <w:r>
              <w:rPr>
                <w:sz w:val="20"/>
                <w:szCs w:val="20"/>
                <w:lang w:eastAsia="en-US"/>
              </w:rPr>
              <w:t>2 187,65</w:t>
            </w:r>
          </w:p>
        </w:tc>
      </w:tr>
      <w:tr w:rsidR="00986FB2" w14:paraId="33844B2D" w14:textId="77777777" w:rsidTr="00986FB2">
        <w:tc>
          <w:tcPr>
            <w:tcW w:w="6379" w:type="dxa"/>
            <w:tcBorders>
              <w:top w:val="single" w:sz="4" w:space="0" w:color="auto"/>
              <w:left w:val="single" w:sz="4" w:space="0" w:color="auto"/>
              <w:bottom w:val="single" w:sz="4" w:space="0" w:color="auto"/>
              <w:right w:val="single" w:sz="4" w:space="0" w:color="auto"/>
            </w:tcBorders>
            <w:shd w:val="clear" w:color="auto" w:fill="F7CAAC"/>
            <w:hideMark/>
          </w:tcPr>
          <w:p w14:paraId="604455F1" w14:textId="77777777" w:rsidR="00986FB2" w:rsidRDefault="00986FB2">
            <w:pPr>
              <w:spacing w:line="276" w:lineRule="auto"/>
              <w:rPr>
                <w:b/>
                <w:sz w:val="20"/>
                <w:szCs w:val="20"/>
                <w:lang w:eastAsia="en-US"/>
              </w:rPr>
            </w:pPr>
            <w:r>
              <w:rPr>
                <w:b/>
                <w:sz w:val="20"/>
                <w:szCs w:val="20"/>
                <w:lang w:eastAsia="en-US"/>
              </w:rPr>
              <w:t xml:space="preserve">Celková suma ročných splátok istiny a úrokov za rok </w:t>
            </w:r>
            <w:r>
              <w:rPr>
                <w:b/>
                <w:sz w:val="20"/>
                <w:szCs w:val="20"/>
                <w:highlight w:val="green"/>
                <w:lang w:eastAsia="en-US"/>
              </w:rPr>
              <w:t>2024</w:t>
            </w:r>
          </w:p>
        </w:tc>
        <w:tc>
          <w:tcPr>
            <w:tcW w:w="3544" w:type="dxa"/>
            <w:tcBorders>
              <w:top w:val="single" w:sz="4" w:space="0" w:color="auto"/>
              <w:left w:val="single" w:sz="4" w:space="0" w:color="auto"/>
              <w:bottom w:val="single" w:sz="4" w:space="0" w:color="auto"/>
              <w:right w:val="single" w:sz="4" w:space="0" w:color="auto"/>
            </w:tcBorders>
            <w:shd w:val="clear" w:color="auto" w:fill="F7CAAC"/>
            <w:hideMark/>
          </w:tcPr>
          <w:p w14:paraId="38A1D565" w14:textId="77777777" w:rsidR="00986FB2" w:rsidRDefault="00986FB2">
            <w:pPr>
              <w:spacing w:line="360" w:lineRule="auto"/>
              <w:jc w:val="right"/>
              <w:rPr>
                <w:b/>
                <w:lang w:eastAsia="en-US"/>
              </w:rPr>
            </w:pPr>
            <w:r>
              <w:rPr>
                <w:b/>
                <w:lang w:eastAsia="en-US"/>
              </w:rPr>
              <w:t>6 327,65</w:t>
            </w:r>
          </w:p>
        </w:tc>
      </w:tr>
    </w:tbl>
    <w:p w14:paraId="7544BBC3" w14:textId="77777777" w:rsidR="00986FB2" w:rsidRDefault="00986FB2" w:rsidP="00986FB2">
      <w:pPr>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917"/>
        <w:gridCol w:w="3244"/>
      </w:tblGrid>
      <w:tr w:rsidR="00986FB2" w14:paraId="6C8AC4AF" w14:textId="77777777" w:rsidTr="00986FB2">
        <w:tc>
          <w:tcPr>
            <w:tcW w:w="3261" w:type="dxa"/>
            <w:tcBorders>
              <w:top w:val="single" w:sz="4" w:space="0" w:color="auto"/>
              <w:left w:val="single" w:sz="4" w:space="0" w:color="auto"/>
              <w:bottom w:val="single" w:sz="4" w:space="0" w:color="auto"/>
              <w:right w:val="single" w:sz="4" w:space="0" w:color="auto"/>
            </w:tcBorders>
            <w:shd w:val="clear" w:color="auto" w:fill="D9D9D9"/>
            <w:hideMark/>
          </w:tcPr>
          <w:p w14:paraId="68E40D71" w14:textId="77777777" w:rsidR="00986FB2" w:rsidRDefault="00986FB2">
            <w:pPr>
              <w:spacing w:line="276" w:lineRule="auto"/>
              <w:jc w:val="center"/>
              <w:rPr>
                <w:b/>
                <w:sz w:val="20"/>
                <w:szCs w:val="20"/>
                <w:lang w:eastAsia="en-US"/>
              </w:rPr>
            </w:pPr>
            <w:r>
              <w:rPr>
                <w:b/>
                <w:sz w:val="20"/>
                <w:szCs w:val="20"/>
                <w:lang w:eastAsia="en-US"/>
              </w:rPr>
              <w:lastRenderedPageBreak/>
              <w:t>Celková suma ročných splátok istiny a úrokov za rok 2024</w:t>
            </w:r>
            <w:r>
              <w:rPr>
                <w:b/>
                <w:color w:val="FF0000"/>
                <w:sz w:val="20"/>
                <w:szCs w:val="20"/>
                <w:lang w:eastAsia="en-US"/>
              </w:rPr>
              <w:t>**</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0FE48D95" w14:textId="77777777" w:rsidR="00986FB2" w:rsidRDefault="00986FB2">
            <w:pPr>
              <w:spacing w:line="276" w:lineRule="auto"/>
              <w:jc w:val="center"/>
              <w:rPr>
                <w:b/>
                <w:sz w:val="20"/>
                <w:szCs w:val="20"/>
                <w:lang w:eastAsia="en-US"/>
              </w:rPr>
            </w:pPr>
            <w:r>
              <w:rPr>
                <w:b/>
                <w:sz w:val="20"/>
                <w:szCs w:val="20"/>
                <w:lang w:eastAsia="en-US"/>
              </w:rPr>
              <w:t>Úhrn upravených</w:t>
            </w:r>
            <w:r>
              <w:rPr>
                <w:b/>
                <w:color w:val="FF0000"/>
                <w:sz w:val="20"/>
                <w:szCs w:val="20"/>
                <w:lang w:eastAsia="en-US"/>
              </w:rPr>
              <w:t xml:space="preserve"> </w:t>
            </w:r>
            <w:r>
              <w:rPr>
                <w:b/>
                <w:sz w:val="20"/>
                <w:szCs w:val="20"/>
                <w:lang w:eastAsia="en-US"/>
              </w:rPr>
              <w:t>bežných príjmov obce a RO k 31.12.2023</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4E184553" w14:textId="77777777" w:rsidR="00986FB2" w:rsidRDefault="00986FB2">
            <w:pPr>
              <w:spacing w:line="276" w:lineRule="auto"/>
              <w:jc w:val="center"/>
              <w:rPr>
                <w:b/>
                <w:sz w:val="20"/>
                <w:szCs w:val="20"/>
                <w:lang w:eastAsia="en-US"/>
              </w:rPr>
            </w:pPr>
            <w:r>
              <w:rPr>
                <w:b/>
                <w:sz w:val="20"/>
                <w:szCs w:val="20"/>
                <w:lang w:eastAsia="en-US"/>
              </w:rPr>
              <w:t>Dlhová služba</w:t>
            </w:r>
          </w:p>
          <w:p w14:paraId="142863D6" w14:textId="77777777" w:rsidR="00986FB2" w:rsidRDefault="00986FB2">
            <w:pPr>
              <w:spacing w:line="276" w:lineRule="auto"/>
              <w:jc w:val="center"/>
              <w:rPr>
                <w:b/>
                <w:sz w:val="20"/>
                <w:szCs w:val="20"/>
                <w:lang w:eastAsia="en-US"/>
              </w:rPr>
            </w:pPr>
            <w:r>
              <w:rPr>
                <w:b/>
                <w:sz w:val="20"/>
                <w:szCs w:val="20"/>
                <w:lang w:eastAsia="en-US"/>
              </w:rPr>
              <w:t>§ 17 ods.6 písm. b)</w:t>
            </w:r>
          </w:p>
        </w:tc>
      </w:tr>
      <w:tr w:rsidR="00986FB2" w14:paraId="4D97FB01" w14:textId="77777777" w:rsidTr="00986FB2">
        <w:tc>
          <w:tcPr>
            <w:tcW w:w="3261" w:type="dxa"/>
            <w:tcBorders>
              <w:top w:val="single" w:sz="4" w:space="0" w:color="auto"/>
              <w:left w:val="single" w:sz="4" w:space="0" w:color="auto"/>
              <w:bottom w:val="single" w:sz="4" w:space="0" w:color="auto"/>
              <w:right w:val="single" w:sz="4" w:space="0" w:color="auto"/>
            </w:tcBorders>
            <w:hideMark/>
          </w:tcPr>
          <w:p w14:paraId="22A85367" w14:textId="77777777" w:rsidR="00986FB2" w:rsidRDefault="00986FB2">
            <w:pPr>
              <w:spacing w:line="276" w:lineRule="auto"/>
              <w:jc w:val="center"/>
              <w:rPr>
                <w:lang w:eastAsia="en-US"/>
              </w:rPr>
            </w:pPr>
            <w:r>
              <w:rPr>
                <w:lang w:eastAsia="en-US"/>
              </w:rPr>
              <w:t>6 327,65</w:t>
            </w:r>
          </w:p>
        </w:tc>
        <w:tc>
          <w:tcPr>
            <w:tcW w:w="3118" w:type="dxa"/>
            <w:tcBorders>
              <w:top w:val="single" w:sz="4" w:space="0" w:color="auto"/>
              <w:left w:val="single" w:sz="4" w:space="0" w:color="auto"/>
              <w:bottom w:val="single" w:sz="4" w:space="0" w:color="auto"/>
              <w:right w:val="single" w:sz="4" w:space="0" w:color="auto"/>
            </w:tcBorders>
            <w:hideMark/>
          </w:tcPr>
          <w:p w14:paraId="2E946A90" w14:textId="77777777" w:rsidR="00986FB2" w:rsidRDefault="00986FB2">
            <w:pPr>
              <w:spacing w:line="276" w:lineRule="auto"/>
              <w:jc w:val="center"/>
              <w:rPr>
                <w:lang w:eastAsia="en-US"/>
              </w:rPr>
            </w:pPr>
            <w:r>
              <w:rPr>
                <w:lang w:eastAsia="en-US"/>
              </w:rPr>
              <w:t>302 109,32</w:t>
            </w:r>
          </w:p>
        </w:tc>
        <w:tc>
          <w:tcPr>
            <w:tcW w:w="3544" w:type="dxa"/>
            <w:tcBorders>
              <w:top w:val="single" w:sz="4" w:space="0" w:color="auto"/>
              <w:left w:val="single" w:sz="4" w:space="0" w:color="auto"/>
              <w:bottom w:val="single" w:sz="4" w:space="0" w:color="auto"/>
              <w:right w:val="single" w:sz="4" w:space="0" w:color="auto"/>
            </w:tcBorders>
            <w:hideMark/>
          </w:tcPr>
          <w:p w14:paraId="0EC8EF7B" w14:textId="77777777" w:rsidR="00986FB2" w:rsidRDefault="00986FB2">
            <w:pPr>
              <w:spacing w:line="276" w:lineRule="auto"/>
              <w:jc w:val="center"/>
              <w:rPr>
                <w:b/>
                <w:lang w:eastAsia="en-US"/>
              </w:rPr>
            </w:pPr>
            <w:r>
              <w:rPr>
                <w:b/>
                <w:lang w:eastAsia="en-US"/>
              </w:rPr>
              <w:t>2,09 %</w:t>
            </w:r>
          </w:p>
        </w:tc>
      </w:tr>
    </w:tbl>
    <w:p w14:paraId="5A852D7A" w14:textId="77777777" w:rsidR="00986FB2" w:rsidRDefault="00986FB2" w:rsidP="00986FB2">
      <w:pPr>
        <w:jc w:val="both"/>
      </w:pPr>
    </w:p>
    <w:p w14:paraId="422E928A" w14:textId="77777777" w:rsidR="00986FB2" w:rsidRDefault="00986FB2" w:rsidP="00986FB2">
      <w:pPr>
        <w:jc w:val="both"/>
      </w:pPr>
      <w:r>
        <w:t xml:space="preserve">Zákonná podmienka podľa § 17 ods.6 písm. b) zákona č.583/2004 Z.z. </w:t>
      </w:r>
      <w:r>
        <w:rPr>
          <w:b/>
        </w:rPr>
        <w:t>bola splnená.</w:t>
      </w:r>
      <w:r>
        <w:t xml:space="preserve"> </w:t>
      </w:r>
    </w:p>
    <w:p w14:paraId="0FB87D38" w14:textId="77777777" w:rsidR="00986FB2" w:rsidRDefault="00986FB2" w:rsidP="00986FB2"/>
    <w:p w14:paraId="33A892F4" w14:textId="77777777" w:rsidR="00986FB2" w:rsidRDefault="00986FB2" w:rsidP="00986FB2">
      <w:pPr>
        <w:rPr>
          <w:u w:val="single"/>
        </w:rPr>
      </w:pPr>
      <w:r>
        <w:rPr>
          <w:u w:val="single"/>
        </w:rPr>
        <w:t>Úverová rezerva obce k 31.12.2024</w:t>
      </w:r>
    </w:p>
    <w:p w14:paraId="651A6AA9" w14:textId="77777777" w:rsidR="00986FB2" w:rsidRDefault="00986FB2" w:rsidP="00986FB2">
      <w:pPr>
        <w:pStyle w:val="Odsekzoznamu"/>
        <w:numPr>
          <w:ilvl w:val="0"/>
          <w:numId w:val="10"/>
        </w:numPr>
      </w:pPr>
      <w:r>
        <w:t>60 % =  400 378,86 x 0,6 = 240 227,31 EUR</w:t>
      </w:r>
    </w:p>
    <w:p w14:paraId="417AD54C" w14:textId="77777777" w:rsidR="00986FB2" w:rsidRDefault="00986FB2" w:rsidP="00986FB2">
      <w:pPr>
        <w:pStyle w:val="Odsekzoznamu"/>
        <w:numPr>
          <w:ilvl w:val="0"/>
          <w:numId w:val="10"/>
        </w:numPr>
      </w:pPr>
      <w:r>
        <w:t xml:space="preserve">240 227,31 – 43 671,87 = </w:t>
      </w:r>
      <w:r>
        <w:rPr>
          <w:b/>
        </w:rPr>
        <w:t>196 555,44</w:t>
      </w:r>
      <w:r>
        <w:t xml:space="preserve"> </w:t>
      </w:r>
      <w:r>
        <w:rPr>
          <w:b/>
        </w:rPr>
        <w:t>EUR</w:t>
      </w:r>
    </w:p>
    <w:p w14:paraId="2055A0C6" w14:textId="77777777" w:rsidR="00986FB2" w:rsidRDefault="00986FB2" w:rsidP="00986FB2">
      <w:pPr>
        <w:pStyle w:val="Odsekzoznamu"/>
        <w:ind w:left="405"/>
      </w:pPr>
    </w:p>
    <w:p w14:paraId="10058F71" w14:textId="77777777" w:rsidR="00986FB2" w:rsidRDefault="00986FB2" w:rsidP="00986FB2">
      <w:pPr>
        <w:rPr>
          <w:u w:val="single"/>
        </w:rPr>
      </w:pPr>
      <w:r>
        <w:rPr>
          <w:u w:val="single"/>
        </w:rPr>
        <w:t>Splátková  rezerva obce k 31.12.2024</w:t>
      </w:r>
    </w:p>
    <w:p w14:paraId="405CAEC7" w14:textId="77777777" w:rsidR="00986FB2" w:rsidRDefault="00986FB2" w:rsidP="00986FB2">
      <w:pPr>
        <w:pStyle w:val="Odsekzoznamu"/>
        <w:numPr>
          <w:ilvl w:val="0"/>
          <w:numId w:val="11"/>
        </w:numPr>
      </w:pPr>
      <w:r>
        <w:t>25% = 302 109,32 x 0,25 = 75 527,33 EUR</w:t>
      </w:r>
    </w:p>
    <w:p w14:paraId="3EA9E222" w14:textId="77777777" w:rsidR="00986FB2" w:rsidRDefault="00986FB2" w:rsidP="00986FB2">
      <w:pPr>
        <w:pStyle w:val="Odsekzoznamu"/>
        <w:numPr>
          <w:ilvl w:val="0"/>
          <w:numId w:val="11"/>
        </w:numPr>
      </w:pPr>
      <w:r>
        <w:t xml:space="preserve">75 537,33 – 6 327,65 = </w:t>
      </w:r>
      <w:r>
        <w:rPr>
          <w:b/>
        </w:rPr>
        <w:t xml:space="preserve"> 69 199,68 EUR</w:t>
      </w:r>
    </w:p>
    <w:p w14:paraId="16550407" w14:textId="77777777" w:rsidR="00451F5F" w:rsidRPr="006943DA" w:rsidRDefault="00451F5F" w:rsidP="00451F5F">
      <w:pPr>
        <w:ind w:left="45"/>
      </w:pPr>
    </w:p>
    <w:p w14:paraId="56883391" w14:textId="77777777" w:rsidR="00451F5F" w:rsidRDefault="00451F5F" w:rsidP="00451F5F">
      <w:pPr>
        <w:pStyle w:val="Pta"/>
        <w:spacing w:after="120" w:line="360" w:lineRule="auto"/>
        <w:jc w:val="both"/>
        <w:rPr>
          <w:iCs/>
        </w:rPr>
      </w:pPr>
      <w:r>
        <w:rPr>
          <w:iCs/>
        </w:rPr>
        <w:t>Vývoj dlhovej služby za roky 2022 až 2024:</w:t>
      </w:r>
    </w:p>
    <w:tbl>
      <w:tblPr>
        <w:tblW w:w="97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00" w:firstRow="0" w:lastRow="0" w:firstColumn="0" w:lastColumn="1" w:noHBand="0" w:noVBand="0"/>
      </w:tblPr>
      <w:tblGrid>
        <w:gridCol w:w="1148"/>
        <w:gridCol w:w="1314"/>
        <w:gridCol w:w="1617"/>
        <w:gridCol w:w="1797"/>
        <w:gridCol w:w="1976"/>
        <w:gridCol w:w="1938"/>
      </w:tblGrid>
      <w:tr w:rsidR="00451F5F" w14:paraId="1B1AB5F4" w14:textId="77777777" w:rsidTr="00451F5F">
        <w:tc>
          <w:tcPr>
            <w:tcW w:w="1148" w:type="dxa"/>
            <w:tcBorders>
              <w:top w:val="double" w:sz="6" w:space="0" w:color="000000"/>
              <w:left w:val="double" w:sz="6" w:space="0" w:color="000000"/>
              <w:bottom w:val="single" w:sz="6" w:space="0" w:color="000000"/>
              <w:right w:val="single" w:sz="6" w:space="0" w:color="000000"/>
            </w:tcBorders>
          </w:tcPr>
          <w:p w14:paraId="422F3644" w14:textId="77777777" w:rsidR="00451F5F" w:rsidRDefault="00451F5F" w:rsidP="006100F5">
            <w:pPr>
              <w:pStyle w:val="Pta"/>
              <w:spacing w:line="360" w:lineRule="auto"/>
              <w:rPr>
                <w:bCs/>
              </w:rPr>
            </w:pPr>
          </w:p>
          <w:p w14:paraId="28419A75" w14:textId="77777777" w:rsidR="00451F5F" w:rsidRDefault="00451F5F">
            <w:pPr>
              <w:pStyle w:val="Pta"/>
              <w:spacing w:after="120" w:line="360" w:lineRule="auto"/>
              <w:jc w:val="center"/>
              <w:rPr>
                <w:bCs/>
              </w:rPr>
            </w:pPr>
            <w:r>
              <w:rPr>
                <w:bCs/>
              </w:rPr>
              <w:t>Rok</w:t>
            </w:r>
          </w:p>
        </w:tc>
        <w:tc>
          <w:tcPr>
            <w:tcW w:w="1314" w:type="dxa"/>
            <w:tcBorders>
              <w:top w:val="double" w:sz="6" w:space="0" w:color="000000"/>
              <w:left w:val="single" w:sz="6" w:space="0" w:color="000000"/>
              <w:bottom w:val="single" w:sz="6" w:space="0" w:color="000000"/>
              <w:right w:val="single" w:sz="6" w:space="0" w:color="000000"/>
            </w:tcBorders>
          </w:tcPr>
          <w:p w14:paraId="77CF467A" w14:textId="77777777" w:rsidR="00451F5F" w:rsidRDefault="00451F5F">
            <w:pPr>
              <w:pStyle w:val="Pta"/>
              <w:spacing w:line="360" w:lineRule="auto"/>
              <w:jc w:val="center"/>
              <w:rPr>
                <w:bCs/>
              </w:rPr>
            </w:pPr>
          </w:p>
          <w:p w14:paraId="65CFBD90" w14:textId="77777777" w:rsidR="00451F5F" w:rsidRDefault="00451F5F">
            <w:pPr>
              <w:pStyle w:val="Pta"/>
              <w:spacing w:after="120" w:line="360" w:lineRule="auto"/>
              <w:jc w:val="center"/>
              <w:rPr>
                <w:bCs/>
              </w:rPr>
            </w:pPr>
            <w:r>
              <w:rPr>
                <w:bCs/>
              </w:rPr>
              <w:t>Počet obyvateľov</w:t>
            </w:r>
          </w:p>
        </w:tc>
        <w:tc>
          <w:tcPr>
            <w:tcW w:w="1617" w:type="dxa"/>
            <w:tcBorders>
              <w:top w:val="double" w:sz="6" w:space="0" w:color="000000"/>
              <w:left w:val="single" w:sz="6" w:space="0" w:color="000000"/>
              <w:bottom w:val="single" w:sz="6" w:space="0" w:color="000000"/>
              <w:right w:val="single" w:sz="6" w:space="0" w:color="000000"/>
            </w:tcBorders>
          </w:tcPr>
          <w:p w14:paraId="6DA83844" w14:textId="77777777" w:rsidR="00451F5F" w:rsidRDefault="00451F5F">
            <w:pPr>
              <w:pStyle w:val="Pta"/>
              <w:spacing w:line="360" w:lineRule="auto"/>
              <w:jc w:val="center"/>
              <w:rPr>
                <w:bCs/>
              </w:rPr>
            </w:pPr>
          </w:p>
          <w:p w14:paraId="69838BAD" w14:textId="77777777" w:rsidR="00451F5F" w:rsidRDefault="00624442" w:rsidP="00624442">
            <w:pPr>
              <w:pStyle w:val="Pta"/>
              <w:spacing w:after="120" w:line="360" w:lineRule="auto"/>
              <w:rPr>
                <w:bCs/>
              </w:rPr>
            </w:pPr>
            <w:r>
              <w:rPr>
                <w:bCs/>
              </w:rPr>
              <w:t>Úver</w:t>
            </w:r>
            <w:r w:rsidR="009E1344">
              <w:rPr>
                <w:bCs/>
              </w:rPr>
              <w:t xml:space="preserve"> </w:t>
            </w:r>
            <w:r>
              <w:rPr>
                <w:bCs/>
              </w:rPr>
              <w:t xml:space="preserve"> </w:t>
            </w:r>
            <w:r w:rsidR="00451F5F">
              <w:rPr>
                <w:bCs/>
              </w:rPr>
              <w:t>v</w:t>
            </w:r>
            <w:r w:rsidR="009E1344">
              <w:rPr>
                <w:bCs/>
              </w:rPr>
              <w:t xml:space="preserve"> </w:t>
            </w:r>
            <w:r w:rsidR="00451F5F">
              <w:rPr>
                <w:bCs/>
              </w:rPr>
              <w:t xml:space="preserve"> €</w:t>
            </w:r>
          </w:p>
          <w:p w14:paraId="7692592A" w14:textId="77777777" w:rsidR="003B2A6E" w:rsidRDefault="003B2A6E" w:rsidP="00624442">
            <w:pPr>
              <w:pStyle w:val="Pta"/>
              <w:spacing w:after="120" w:line="360" w:lineRule="auto"/>
              <w:rPr>
                <w:bCs/>
              </w:rPr>
            </w:pPr>
          </w:p>
        </w:tc>
        <w:tc>
          <w:tcPr>
            <w:tcW w:w="1797" w:type="dxa"/>
            <w:tcBorders>
              <w:top w:val="double" w:sz="6" w:space="0" w:color="000000"/>
              <w:left w:val="single" w:sz="6" w:space="0" w:color="000000"/>
              <w:bottom w:val="single" w:sz="6" w:space="0" w:color="000000"/>
              <w:right w:val="single" w:sz="6" w:space="0" w:color="000000"/>
            </w:tcBorders>
          </w:tcPr>
          <w:p w14:paraId="6773A0FC" w14:textId="77777777" w:rsidR="00451F5F" w:rsidRDefault="00451F5F">
            <w:pPr>
              <w:pStyle w:val="Pta"/>
              <w:spacing w:line="360" w:lineRule="auto"/>
              <w:jc w:val="center"/>
              <w:rPr>
                <w:bCs/>
              </w:rPr>
            </w:pPr>
          </w:p>
          <w:p w14:paraId="59F3BFC8" w14:textId="77777777" w:rsidR="00451F5F" w:rsidRDefault="003B2A6E" w:rsidP="003B2A6E">
            <w:pPr>
              <w:pStyle w:val="Pta"/>
              <w:spacing w:after="120" w:line="360" w:lineRule="auto"/>
              <w:jc w:val="center"/>
              <w:rPr>
                <w:bCs/>
              </w:rPr>
            </w:pPr>
            <w:r>
              <w:rPr>
                <w:bCs/>
              </w:rPr>
              <w:t>Úver</w:t>
            </w:r>
            <w:r w:rsidR="00451F5F">
              <w:rPr>
                <w:bCs/>
              </w:rPr>
              <w:t xml:space="preserve"> na 1 obyvateľ</w:t>
            </w:r>
            <w:r>
              <w:rPr>
                <w:bCs/>
              </w:rPr>
              <w:t>a</w:t>
            </w:r>
          </w:p>
        </w:tc>
        <w:tc>
          <w:tcPr>
            <w:tcW w:w="1976" w:type="dxa"/>
            <w:tcBorders>
              <w:top w:val="double" w:sz="6" w:space="0" w:color="000000"/>
              <w:left w:val="single" w:sz="6" w:space="0" w:color="000000"/>
              <w:bottom w:val="single" w:sz="6" w:space="0" w:color="000000"/>
              <w:right w:val="single" w:sz="6" w:space="0" w:color="000000"/>
            </w:tcBorders>
          </w:tcPr>
          <w:p w14:paraId="77114C7F" w14:textId="77777777" w:rsidR="00451F5F" w:rsidRDefault="00451F5F">
            <w:pPr>
              <w:pStyle w:val="Pta"/>
              <w:spacing w:line="360" w:lineRule="auto"/>
              <w:jc w:val="center"/>
              <w:rPr>
                <w:bCs/>
              </w:rPr>
            </w:pPr>
          </w:p>
          <w:p w14:paraId="6DB0931A" w14:textId="77777777" w:rsidR="00451F5F" w:rsidRDefault="003B2A6E">
            <w:pPr>
              <w:pStyle w:val="Pta"/>
              <w:spacing w:line="360" w:lineRule="auto"/>
              <w:jc w:val="center"/>
              <w:rPr>
                <w:bCs/>
              </w:rPr>
            </w:pPr>
            <w:r>
              <w:rPr>
                <w:bCs/>
              </w:rPr>
              <w:t>Úver + dlhodobé záväzky celkom</w:t>
            </w:r>
            <w:r w:rsidR="00451F5F">
              <w:rPr>
                <w:bCs/>
              </w:rPr>
              <w:t xml:space="preserve"> </w:t>
            </w:r>
          </w:p>
          <w:p w14:paraId="2A084D19" w14:textId="77777777" w:rsidR="00451F5F" w:rsidRDefault="00451F5F">
            <w:pPr>
              <w:pStyle w:val="Pta"/>
              <w:spacing w:after="120" w:line="360" w:lineRule="auto"/>
              <w:jc w:val="center"/>
              <w:rPr>
                <w:bCs/>
              </w:rPr>
            </w:pPr>
          </w:p>
        </w:tc>
        <w:tc>
          <w:tcPr>
            <w:tcW w:w="1938" w:type="dxa"/>
            <w:tcBorders>
              <w:top w:val="double" w:sz="6" w:space="0" w:color="000000"/>
              <w:left w:val="single" w:sz="6" w:space="0" w:color="000000"/>
              <w:bottom w:val="single" w:sz="6" w:space="0" w:color="000000"/>
              <w:right w:val="double" w:sz="6" w:space="0" w:color="000000"/>
            </w:tcBorders>
          </w:tcPr>
          <w:p w14:paraId="1B828D47" w14:textId="77777777" w:rsidR="00451F5F" w:rsidRDefault="00451F5F">
            <w:pPr>
              <w:pStyle w:val="Pta"/>
              <w:spacing w:line="360" w:lineRule="auto"/>
              <w:jc w:val="center"/>
              <w:rPr>
                <w:bCs/>
              </w:rPr>
            </w:pPr>
          </w:p>
          <w:p w14:paraId="7A72A46C" w14:textId="77777777" w:rsidR="00451F5F" w:rsidRDefault="003B2A6E">
            <w:pPr>
              <w:pStyle w:val="Pta"/>
              <w:spacing w:line="360" w:lineRule="auto"/>
              <w:jc w:val="center"/>
              <w:rPr>
                <w:bCs/>
              </w:rPr>
            </w:pPr>
            <w:r>
              <w:rPr>
                <w:bCs/>
              </w:rPr>
              <w:t>Úver + dlhodobé záväzky</w:t>
            </w:r>
            <w:r w:rsidR="00451F5F">
              <w:rPr>
                <w:bCs/>
              </w:rPr>
              <w:t xml:space="preserve"> na 1 obyvateľa v €</w:t>
            </w:r>
          </w:p>
        </w:tc>
      </w:tr>
      <w:tr w:rsidR="00451F5F" w14:paraId="3180EF97" w14:textId="77777777" w:rsidTr="00451F5F">
        <w:tc>
          <w:tcPr>
            <w:tcW w:w="1148" w:type="dxa"/>
            <w:tcBorders>
              <w:top w:val="single" w:sz="6" w:space="0" w:color="000000"/>
              <w:left w:val="double" w:sz="6" w:space="0" w:color="000000"/>
              <w:bottom w:val="single" w:sz="6" w:space="0" w:color="000000"/>
              <w:right w:val="single" w:sz="6" w:space="0" w:color="000000"/>
            </w:tcBorders>
            <w:hideMark/>
          </w:tcPr>
          <w:p w14:paraId="6AC308B6" w14:textId="77777777" w:rsidR="00451F5F" w:rsidRDefault="00451F5F">
            <w:pPr>
              <w:pStyle w:val="Pta"/>
              <w:spacing w:after="120" w:line="360" w:lineRule="auto"/>
            </w:pPr>
            <w:r>
              <w:t>2022</w:t>
            </w:r>
          </w:p>
        </w:tc>
        <w:tc>
          <w:tcPr>
            <w:tcW w:w="1314" w:type="dxa"/>
            <w:tcBorders>
              <w:top w:val="single" w:sz="6" w:space="0" w:color="000000"/>
              <w:left w:val="single" w:sz="6" w:space="0" w:color="000000"/>
              <w:bottom w:val="single" w:sz="6" w:space="0" w:color="000000"/>
              <w:right w:val="single" w:sz="6" w:space="0" w:color="000000"/>
            </w:tcBorders>
            <w:hideMark/>
          </w:tcPr>
          <w:p w14:paraId="57321B5D" w14:textId="77777777" w:rsidR="00451F5F" w:rsidRDefault="00230658">
            <w:pPr>
              <w:pStyle w:val="Pta"/>
              <w:spacing w:after="120" w:line="360" w:lineRule="auto"/>
              <w:jc w:val="right"/>
            </w:pPr>
            <w:r>
              <w:t>5</w:t>
            </w:r>
            <w:r w:rsidR="009E0D52">
              <w:t>83</w:t>
            </w:r>
          </w:p>
        </w:tc>
        <w:tc>
          <w:tcPr>
            <w:tcW w:w="1617" w:type="dxa"/>
            <w:tcBorders>
              <w:top w:val="single" w:sz="6" w:space="0" w:color="000000"/>
              <w:left w:val="single" w:sz="6" w:space="0" w:color="000000"/>
              <w:bottom w:val="single" w:sz="6" w:space="0" w:color="000000"/>
              <w:right w:val="single" w:sz="6" w:space="0" w:color="000000"/>
            </w:tcBorders>
            <w:hideMark/>
          </w:tcPr>
          <w:p w14:paraId="3850922E" w14:textId="77777777" w:rsidR="00451F5F" w:rsidRDefault="009E0D52">
            <w:pPr>
              <w:pStyle w:val="Pta"/>
              <w:spacing w:after="120" w:line="360" w:lineRule="auto"/>
              <w:jc w:val="right"/>
            </w:pPr>
            <w:r>
              <w:t>9 248,37</w:t>
            </w:r>
          </w:p>
        </w:tc>
        <w:tc>
          <w:tcPr>
            <w:tcW w:w="1797" w:type="dxa"/>
            <w:tcBorders>
              <w:top w:val="single" w:sz="6" w:space="0" w:color="000000"/>
              <w:left w:val="single" w:sz="6" w:space="0" w:color="000000"/>
              <w:bottom w:val="single" w:sz="6" w:space="0" w:color="000000"/>
              <w:right w:val="single" w:sz="6" w:space="0" w:color="000000"/>
            </w:tcBorders>
            <w:hideMark/>
          </w:tcPr>
          <w:p w14:paraId="0604CEEC" w14:textId="77777777" w:rsidR="00451F5F" w:rsidRDefault="009E0D52">
            <w:pPr>
              <w:pStyle w:val="Pta"/>
              <w:spacing w:after="120" w:line="360" w:lineRule="auto"/>
              <w:jc w:val="right"/>
            </w:pPr>
            <w:r>
              <w:t>15,86</w:t>
            </w:r>
          </w:p>
        </w:tc>
        <w:tc>
          <w:tcPr>
            <w:tcW w:w="1976" w:type="dxa"/>
            <w:tcBorders>
              <w:top w:val="single" w:sz="6" w:space="0" w:color="000000"/>
              <w:left w:val="single" w:sz="6" w:space="0" w:color="000000"/>
              <w:bottom w:val="single" w:sz="6" w:space="0" w:color="000000"/>
              <w:right w:val="single" w:sz="6" w:space="0" w:color="000000"/>
            </w:tcBorders>
            <w:hideMark/>
          </w:tcPr>
          <w:p w14:paraId="0182EFE8" w14:textId="77777777" w:rsidR="00451F5F" w:rsidRDefault="009E0D52">
            <w:pPr>
              <w:pStyle w:val="Hlavika"/>
              <w:tabs>
                <w:tab w:val="left" w:pos="951"/>
              </w:tabs>
              <w:spacing w:after="120" w:line="360" w:lineRule="auto"/>
              <w:jc w:val="center"/>
            </w:pPr>
            <w:r>
              <w:t>10 585,79</w:t>
            </w:r>
          </w:p>
        </w:tc>
        <w:tc>
          <w:tcPr>
            <w:tcW w:w="1938" w:type="dxa"/>
            <w:tcBorders>
              <w:top w:val="single" w:sz="6" w:space="0" w:color="000000"/>
              <w:left w:val="single" w:sz="6" w:space="0" w:color="000000"/>
              <w:bottom w:val="single" w:sz="6" w:space="0" w:color="000000"/>
              <w:right w:val="double" w:sz="6" w:space="0" w:color="000000"/>
            </w:tcBorders>
            <w:hideMark/>
          </w:tcPr>
          <w:p w14:paraId="173A454A" w14:textId="77777777" w:rsidR="00451F5F" w:rsidRDefault="009E738D">
            <w:pPr>
              <w:pStyle w:val="Pta"/>
              <w:spacing w:after="120" w:line="360" w:lineRule="auto"/>
              <w:jc w:val="right"/>
            </w:pPr>
            <w:r>
              <w:t>18,15</w:t>
            </w:r>
          </w:p>
        </w:tc>
      </w:tr>
      <w:tr w:rsidR="00451F5F" w14:paraId="11FD9496" w14:textId="77777777" w:rsidTr="00451F5F">
        <w:tc>
          <w:tcPr>
            <w:tcW w:w="1148" w:type="dxa"/>
            <w:tcBorders>
              <w:top w:val="single" w:sz="6" w:space="0" w:color="000000"/>
              <w:left w:val="double" w:sz="6" w:space="0" w:color="000000"/>
              <w:bottom w:val="single" w:sz="6" w:space="0" w:color="000000"/>
              <w:right w:val="single" w:sz="6" w:space="0" w:color="000000"/>
            </w:tcBorders>
            <w:hideMark/>
          </w:tcPr>
          <w:p w14:paraId="3A7452AE" w14:textId="77777777" w:rsidR="00451F5F" w:rsidRDefault="00451F5F">
            <w:pPr>
              <w:pStyle w:val="Pta"/>
              <w:spacing w:after="120" w:line="360" w:lineRule="auto"/>
            </w:pPr>
            <w:r>
              <w:t>2023</w:t>
            </w:r>
          </w:p>
        </w:tc>
        <w:tc>
          <w:tcPr>
            <w:tcW w:w="1314" w:type="dxa"/>
            <w:tcBorders>
              <w:top w:val="single" w:sz="6" w:space="0" w:color="000000"/>
              <w:left w:val="single" w:sz="6" w:space="0" w:color="000000"/>
              <w:bottom w:val="single" w:sz="6" w:space="0" w:color="000000"/>
              <w:right w:val="single" w:sz="6" w:space="0" w:color="000000"/>
            </w:tcBorders>
            <w:hideMark/>
          </w:tcPr>
          <w:p w14:paraId="1B949EBD" w14:textId="77777777" w:rsidR="00451F5F" w:rsidRDefault="00230658">
            <w:pPr>
              <w:pStyle w:val="Pta"/>
              <w:spacing w:after="120" w:line="360" w:lineRule="auto"/>
              <w:jc w:val="right"/>
            </w:pPr>
            <w:r>
              <w:t>58</w:t>
            </w:r>
            <w:r w:rsidR="009E0D52">
              <w:t>0</w:t>
            </w:r>
          </w:p>
        </w:tc>
        <w:tc>
          <w:tcPr>
            <w:tcW w:w="1617" w:type="dxa"/>
            <w:tcBorders>
              <w:top w:val="single" w:sz="6" w:space="0" w:color="000000"/>
              <w:left w:val="single" w:sz="6" w:space="0" w:color="000000"/>
              <w:bottom w:val="single" w:sz="6" w:space="0" w:color="000000"/>
              <w:right w:val="single" w:sz="6" w:space="0" w:color="000000"/>
            </w:tcBorders>
            <w:hideMark/>
          </w:tcPr>
          <w:p w14:paraId="2F9A7966" w14:textId="77777777" w:rsidR="00451F5F" w:rsidRDefault="009E0D52">
            <w:pPr>
              <w:pStyle w:val="Pta"/>
              <w:spacing w:after="120" w:line="360" w:lineRule="auto"/>
              <w:jc w:val="right"/>
            </w:pPr>
            <w:r>
              <w:t>47 849,87</w:t>
            </w:r>
          </w:p>
        </w:tc>
        <w:tc>
          <w:tcPr>
            <w:tcW w:w="1797" w:type="dxa"/>
            <w:tcBorders>
              <w:top w:val="single" w:sz="6" w:space="0" w:color="000000"/>
              <w:left w:val="single" w:sz="6" w:space="0" w:color="000000"/>
              <w:bottom w:val="single" w:sz="6" w:space="0" w:color="000000"/>
              <w:right w:val="single" w:sz="6" w:space="0" w:color="000000"/>
            </w:tcBorders>
            <w:hideMark/>
          </w:tcPr>
          <w:p w14:paraId="5430157F" w14:textId="77777777" w:rsidR="00451F5F" w:rsidRDefault="009E0D52">
            <w:pPr>
              <w:pStyle w:val="Pta"/>
              <w:spacing w:after="120" w:line="360" w:lineRule="auto"/>
              <w:jc w:val="right"/>
            </w:pPr>
            <w:r>
              <w:t>82,49</w:t>
            </w:r>
          </w:p>
        </w:tc>
        <w:tc>
          <w:tcPr>
            <w:tcW w:w="1976" w:type="dxa"/>
            <w:tcBorders>
              <w:top w:val="single" w:sz="6" w:space="0" w:color="000000"/>
              <w:left w:val="single" w:sz="6" w:space="0" w:color="000000"/>
              <w:bottom w:val="single" w:sz="6" w:space="0" w:color="000000"/>
              <w:right w:val="single" w:sz="6" w:space="0" w:color="000000"/>
            </w:tcBorders>
            <w:hideMark/>
          </w:tcPr>
          <w:p w14:paraId="53B58200" w14:textId="77777777" w:rsidR="00451F5F" w:rsidRDefault="009E0D52">
            <w:pPr>
              <w:pStyle w:val="Hlavika"/>
              <w:tabs>
                <w:tab w:val="left" w:pos="951"/>
              </w:tabs>
              <w:spacing w:after="120" w:line="360" w:lineRule="auto"/>
              <w:jc w:val="center"/>
            </w:pPr>
            <w:r>
              <w:t>49 726,90</w:t>
            </w:r>
          </w:p>
        </w:tc>
        <w:tc>
          <w:tcPr>
            <w:tcW w:w="1938" w:type="dxa"/>
            <w:tcBorders>
              <w:top w:val="single" w:sz="6" w:space="0" w:color="000000"/>
              <w:left w:val="single" w:sz="6" w:space="0" w:color="000000"/>
              <w:bottom w:val="single" w:sz="6" w:space="0" w:color="000000"/>
              <w:right w:val="double" w:sz="6" w:space="0" w:color="000000"/>
            </w:tcBorders>
            <w:hideMark/>
          </w:tcPr>
          <w:p w14:paraId="7549242C" w14:textId="77777777" w:rsidR="00451F5F" w:rsidRDefault="009E738D">
            <w:pPr>
              <w:pStyle w:val="Pta"/>
              <w:spacing w:after="120" w:line="360" w:lineRule="auto"/>
              <w:jc w:val="right"/>
            </w:pPr>
            <w:r>
              <w:t>85,73</w:t>
            </w:r>
          </w:p>
        </w:tc>
      </w:tr>
      <w:tr w:rsidR="00451F5F" w14:paraId="792B10A8" w14:textId="77777777" w:rsidTr="00451F5F">
        <w:tc>
          <w:tcPr>
            <w:tcW w:w="1148" w:type="dxa"/>
            <w:tcBorders>
              <w:top w:val="single" w:sz="6" w:space="0" w:color="000000"/>
              <w:left w:val="double" w:sz="6" w:space="0" w:color="000000"/>
              <w:bottom w:val="single" w:sz="6" w:space="0" w:color="000000"/>
              <w:right w:val="single" w:sz="6" w:space="0" w:color="000000"/>
            </w:tcBorders>
            <w:hideMark/>
          </w:tcPr>
          <w:p w14:paraId="483A07D9" w14:textId="77777777" w:rsidR="00451F5F" w:rsidRDefault="00451F5F">
            <w:pPr>
              <w:pStyle w:val="Pta"/>
              <w:spacing w:after="120" w:line="360" w:lineRule="auto"/>
            </w:pPr>
            <w:r>
              <w:t>2024</w:t>
            </w:r>
          </w:p>
        </w:tc>
        <w:tc>
          <w:tcPr>
            <w:tcW w:w="1314" w:type="dxa"/>
            <w:tcBorders>
              <w:top w:val="single" w:sz="6" w:space="0" w:color="000000"/>
              <w:left w:val="single" w:sz="6" w:space="0" w:color="000000"/>
              <w:bottom w:val="single" w:sz="6" w:space="0" w:color="000000"/>
              <w:right w:val="single" w:sz="6" w:space="0" w:color="000000"/>
            </w:tcBorders>
            <w:hideMark/>
          </w:tcPr>
          <w:p w14:paraId="754BE300" w14:textId="77777777" w:rsidR="00451F5F" w:rsidRDefault="00230658">
            <w:pPr>
              <w:pStyle w:val="Pta"/>
              <w:spacing w:after="120" w:line="360" w:lineRule="auto"/>
              <w:jc w:val="right"/>
            </w:pPr>
            <w:r>
              <w:t>5</w:t>
            </w:r>
            <w:r w:rsidR="009E0D52">
              <w:t>7</w:t>
            </w:r>
            <w:r w:rsidR="009E738D">
              <w:t>8</w:t>
            </w:r>
          </w:p>
        </w:tc>
        <w:tc>
          <w:tcPr>
            <w:tcW w:w="1617" w:type="dxa"/>
            <w:tcBorders>
              <w:top w:val="single" w:sz="6" w:space="0" w:color="000000"/>
              <w:left w:val="single" w:sz="6" w:space="0" w:color="000000"/>
              <w:bottom w:val="single" w:sz="6" w:space="0" w:color="000000"/>
              <w:right w:val="single" w:sz="6" w:space="0" w:color="000000"/>
            </w:tcBorders>
            <w:hideMark/>
          </w:tcPr>
          <w:p w14:paraId="7B5068AA" w14:textId="77777777" w:rsidR="00451F5F" w:rsidRDefault="009E0D52">
            <w:pPr>
              <w:pStyle w:val="Pta"/>
              <w:spacing w:after="120" w:line="360" w:lineRule="auto"/>
              <w:jc w:val="right"/>
            </w:pPr>
            <w:r>
              <w:t>43 671,87</w:t>
            </w:r>
          </w:p>
        </w:tc>
        <w:tc>
          <w:tcPr>
            <w:tcW w:w="1797" w:type="dxa"/>
            <w:tcBorders>
              <w:top w:val="single" w:sz="6" w:space="0" w:color="000000"/>
              <w:left w:val="single" w:sz="6" w:space="0" w:color="000000"/>
              <w:bottom w:val="single" w:sz="6" w:space="0" w:color="000000"/>
              <w:right w:val="single" w:sz="6" w:space="0" w:color="000000"/>
            </w:tcBorders>
            <w:hideMark/>
          </w:tcPr>
          <w:p w14:paraId="56CC30BA" w14:textId="77777777" w:rsidR="00451F5F" w:rsidRDefault="009E0D52">
            <w:pPr>
              <w:pStyle w:val="Pta"/>
              <w:spacing w:after="120" w:line="360" w:lineRule="auto"/>
              <w:jc w:val="right"/>
            </w:pPr>
            <w:r>
              <w:t>75,</w:t>
            </w:r>
            <w:r w:rsidR="009E738D">
              <w:t>55</w:t>
            </w:r>
          </w:p>
        </w:tc>
        <w:tc>
          <w:tcPr>
            <w:tcW w:w="1976" w:type="dxa"/>
            <w:tcBorders>
              <w:top w:val="single" w:sz="6" w:space="0" w:color="000000"/>
              <w:left w:val="single" w:sz="6" w:space="0" w:color="000000"/>
              <w:bottom w:val="single" w:sz="6" w:space="0" w:color="000000"/>
              <w:right w:val="single" w:sz="6" w:space="0" w:color="000000"/>
            </w:tcBorders>
            <w:hideMark/>
          </w:tcPr>
          <w:p w14:paraId="727629DB" w14:textId="77777777" w:rsidR="00451F5F" w:rsidRDefault="009E0D52">
            <w:pPr>
              <w:pStyle w:val="Hlavika"/>
              <w:tabs>
                <w:tab w:val="left" w:pos="951"/>
              </w:tabs>
              <w:spacing w:after="120" w:line="360" w:lineRule="auto"/>
              <w:jc w:val="center"/>
            </w:pPr>
            <w:r>
              <w:t>46 070,71</w:t>
            </w:r>
          </w:p>
        </w:tc>
        <w:tc>
          <w:tcPr>
            <w:tcW w:w="1938" w:type="dxa"/>
            <w:tcBorders>
              <w:top w:val="single" w:sz="6" w:space="0" w:color="000000"/>
              <w:left w:val="single" w:sz="6" w:space="0" w:color="000000"/>
              <w:bottom w:val="single" w:sz="6" w:space="0" w:color="000000"/>
              <w:right w:val="double" w:sz="6" w:space="0" w:color="000000"/>
            </w:tcBorders>
            <w:hideMark/>
          </w:tcPr>
          <w:p w14:paraId="3A30B20B" w14:textId="77777777" w:rsidR="00451F5F" w:rsidRDefault="009E738D">
            <w:pPr>
              <w:pStyle w:val="Pta"/>
              <w:spacing w:after="120" w:line="360" w:lineRule="auto"/>
              <w:jc w:val="right"/>
            </w:pPr>
            <w:r>
              <w:t>79,70</w:t>
            </w:r>
          </w:p>
        </w:tc>
      </w:tr>
    </w:tbl>
    <w:p w14:paraId="042AF3DF" w14:textId="77777777" w:rsidR="006943DA" w:rsidRDefault="006943DA" w:rsidP="006943DA">
      <w:pPr>
        <w:ind w:left="45"/>
      </w:pPr>
    </w:p>
    <w:p w14:paraId="7EDA68C8" w14:textId="77777777" w:rsidR="006943DA" w:rsidRPr="0060551A" w:rsidRDefault="006943DA" w:rsidP="006943DA">
      <w:pPr>
        <w:ind w:left="45"/>
        <w:rPr>
          <w:u w:val="single"/>
        </w:rPr>
      </w:pPr>
      <w:r w:rsidRPr="0060551A">
        <w:rPr>
          <w:u w:val="single"/>
        </w:rPr>
        <w:t>Záver:</w:t>
      </w:r>
    </w:p>
    <w:p w14:paraId="1BF2B865" w14:textId="3E878AC5" w:rsidR="006943DA" w:rsidRPr="006943DA" w:rsidRDefault="006943DA" w:rsidP="006943DA">
      <w:pPr>
        <w:pStyle w:val="Default"/>
        <w:rPr>
          <w:rFonts w:ascii="Times New Roman" w:hAnsi="Times New Roman" w:cs="Times New Roman"/>
        </w:rPr>
      </w:pPr>
      <w:r w:rsidRPr="006943DA">
        <w:rPr>
          <w:rFonts w:ascii="Times New Roman" w:hAnsi="Times New Roman" w:cs="Times New Roman"/>
        </w:rPr>
        <w:t xml:space="preserve">Kontrolou vykonanej inventarizácie návratných zdrojov financovania a úverov a </w:t>
      </w:r>
      <w:r w:rsidR="00D24837">
        <w:rPr>
          <w:rFonts w:ascii="Times New Roman" w:hAnsi="Times New Roman" w:cs="Times New Roman"/>
        </w:rPr>
        <w:t>i</w:t>
      </w:r>
      <w:r w:rsidRPr="006943DA">
        <w:rPr>
          <w:rFonts w:ascii="Times New Roman" w:hAnsi="Times New Roman" w:cs="Times New Roman"/>
        </w:rPr>
        <w:t xml:space="preserve">nventarizácie bankových účtov neboli zistené nedostatky. Finančné výkazy poskytujú dostatočné informácie o vykazovaní návratných zdrojov financovania. </w:t>
      </w:r>
    </w:p>
    <w:p w14:paraId="4998B85B" w14:textId="77777777" w:rsidR="006943DA" w:rsidRPr="006943DA" w:rsidRDefault="006943DA" w:rsidP="006943DA">
      <w:pPr>
        <w:pStyle w:val="Default"/>
        <w:rPr>
          <w:rFonts w:ascii="Times New Roman" w:hAnsi="Times New Roman" w:cs="Times New Roman"/>
        </w:rPr>
      </w:pPr>
      <w:r w:rsidRPr="006943DA">
        <w:rPr>
          <w:rFonts w:ascii="Times New Roman" w:hAnsi="Times New Roman" w:cs="Times New Roman"/>
        </w:rPr>
        <w:t xml:space="preserve">Kontrolou stavu vývoja dlhu neboli zistené žiadne nedostatky. Nebolo zistené porušenie zákonných pravidiel prijímania návratných zdrojov financovania.  </w:t>
      </w:r>
    </w:p>
    <w:p w14:paraId="02E567B5" w14:textId="77777777" w:rsidR="006943DA" w:rsidRPr="006943DA" w:rsidRDefault="006943DA" w:rsidP="006943DA">
      <w:pPr>
        <w:pStyle w:val="Default"/>
        <w:rPr>
          <w:rFonts w:ascii="Times New Roman" w:hAnsi="Times New Roman" w:cs="Times New Roman"/>
        </w:rPr>
      </w:pPr>
      <w:r w:rsidRPr="006943DA">
        <w:rPr>
          <w:rFonts w:ascii="Times New Roman" w:hAnsi="Times New Roman" w:cs="Times New Roman"/>
        </w:rPr>
        <w:t xml:space="preserve">Správa o výsledku kontroly bola vyhotovená dňa </w:t>
      </w:r>
      <w:r>
        <w:rPr>
          <w:rFonts w:ascii="Times New Roman" w:hAnsi="Times New Roman" w:cs="Times New Roman"/>
        </w:rPr>
        <w:t>15.04.2025</w:t>
      </w:r>
      <w:r w:rsidR="009E1344">
        <w:rPr>
          <w:rFonts w:ascii="Times New Roman" w:hAnsi="Times New Roman" w:cs="Times New Roman"/>
        </w:rPr>
        <w:t>.</w:t>
      </w:r>
      <w:r w:rsidRPr="006943DA">
        <w:rPr>
          <w:rFonts w:ascii="Times New Roman" w:hAnsi="Times New Roman" w:cs="Times New Roman"/>
        </w:rPr>
        <w:t xml:space="preserve"> </w:t>
      </w:r>
    </w:p>
    <w:p w14:paraId="35C84CC4" w14:textId="472F9386" w:rsidR="006943DA" w:rsidRPr="006943DA" w:rsidRDefault="006943DA" w:rsidP="006943DA">
      <w:pPr>
        <w:pStyle w:val="Default"/>
        <w:rPr>
          <w:rFonts w:ascii="Times New Roman" w:hAnsi="Times New Roman" w:cs="Times New Roman"/>
        </w:rPr>
      </w:pPr>
      <w:r w:rsidRPr="0060551A">
        <w:rPr>
          <w:rFonts w:ascii="Times New Roman" w:hAnsi="Times New Roman" w:cs="Times New Roman"/>
          <w:u w:val="single"/>
        </w:rPr>
        <w:t>Vyhotovil:</w:t>
      </w:r>
      <w:r>
        <w:rPr>
          <w:rFonts w:ascii="Times New Roman" w:hAnsi="Times New Roman" w:cs="Times New Roman"/>
        </w:rPr>
        <w:t xml:space="preserve"> Ladislav Ki</w:t>
      </w:r>
      <w:r w:rsidR="0060551A">
        <w:rPr>
          <w:rFonts w:ascii="Times New Roman" w:hAnsi="Times New Roman" w:cs="Times New Roman"/>
        </w:rPr>
        <w:t>sfaludi - hlavný kontrolór obce</w:t>
      </w:r>
      <w:r w:rsidRPr="006943DA">
        <w:rPr>
          <w:rFonts w:ascii="Times New Roman" w:hAnsi="Times New Roman" w:cs="Times New Roman"/>
        </w:rPr>
        <w:t xml:space="preserve"> </w:t>
      </w:r>
    </w:p>
    <w:p w14:paraId="1DE75B49" w14:textId="77777777" w:rsidR="005C4237" w:rsidRDefault="006943DA" w:rsidP="006943DA">
      <w:pPr>
        <w:pStyle w:val="Default"/>
        <w:rPr>
          <w:rFonts w:ascii="Times New Roman" w:hAnsi="Times New Roman" w:cs="Times New Roman"/>
        </w:rPr>
      </w:pPr>
      <w:r w:rsidRPr="0060551A">
        <w:rPr>
          <w:rFonts w:ascii="Times New Roman" w:hAnsi="Times New Roman" w:cs="Times New Roman"/>
          <w:u w:val="single"/>
        </w:rPr>
        <w:t>Správu o výsledku kontroly prevzal</w:t>
      </w:r>
      <w:r w:rsidR="0089444A">
        <w:rPr>
          <w:rFonts w:ascii="Times New Roman" w:hAnsi="Times New Roman" w:cs="Times New Roman"/>
        </w:rPr>
        <w:t>: Michal Fedor</w:t>
      </w:r>
      <w:r>
        <w:rPr>
          <w:rFonts w:ascii="Times New Roman" w:hAnsi="Times New Roman" w:cs="Times New Roman"/>
        </w:rPr>
        <w:t xml:space="preserve">    </w:t>
      </w:r>
    </w:p>
    <w:p w14:paraId="2246B885" w14:textId="77777777" w:rsidR="005C4237" w:rsidRDefault="005C4237" w:rsidP="006943DA">
      <w:pPr>
        <w:pStyle w:val="Default"/>
        <w:rPr>
          <w:rFonts w:ascii="Times New Roman" w:hAnsi="Times New Roman" w:cs="Times New Roman"/>
        </w:rPr>
      </w:pPr>
    </w:p>
    <w:p w14:paraId="361EE8D9" w14:textId="77777777" w:rsidR="005C4237" w:rsidRDefault="005C4237" w:rsidP="006943DA">
      <w:pPr>
        <w:pStyle w:val="Default"/>
        <w:rPr>
          <w:rFonts w:ascii="Times New Roman" w:hAnsi="Times New Roman" w:cs="Times New Roman"/>
        </w:rPr>
      </w:pPr>
    </w:p>
    <w:p w14:paraId="6035D604" w14:textId="1949700E" w:rsidR="006943DA" w:rsidRPr="006943DA" w:rsidRDefault="0089444A" w:rsidP="005C4237">
      <w:pPr>
        <w:pStyle w:val="Default"/>
        <w:ind w:left="4956" w:firstLine="708"/>
        <w:rPr>
          <w:rFonts w:ascii="Times New Roman" w:hAnsi="Times New Roman" w:cs="Times New Roman"/>
        </w:rPr>
      </w:pPr>
      <w:r>
        <w:rPr>
          <w:rFonts w:ascii="Times New Roman" w:hAnsi="Times New Roman" w:cs="Times New Roman"/>
        </w:rPr>
        <w:t xml:space="preserve"> </w:t>
      </w:r>
      <w:r w:rsidR="009E1344">
        <w:rPr>
          <w:rFonts w:ascii="Times New Roman" w:hAnsi="Times New Roman" w:cs="Times New Roman"/>
        </w:rPr>
        <w:t xml:space="preserve">  </w:t>
      </w:r>
      <w:r>
        <w:rPr>
          <w:rFonts w:ascii="Times New Roman" w:hAnsi="Times New Roman" w:cs="Times New Roman"/>
        </w:rPr>
        <w:t xml:space="preserve"> </w:t>
      </w:r>
      <w:r w:rsidR="006943DA" w:rsidRPr="006943DA">
        <w:rPr>
          <w:rFonts w:ascii="Times New Roman" w:hAnsi="Times New Roman" w:cs="Times New Roman"/>
        </w:rPr>
        <w:t xml:space="preserve">.................... </w:t>
      </w:r>
    </w:p>
    <w:p w14:paraId="0C604DFE" w14:textId="77777777" w:rsidR="00997687" w:rsidRDefault="006943DA" w:rsidP="00997687">
      <w:r>
        <w:t xml:space="preserve">                                                                                          </w:t>
      </w:r>
      <w:r w:rsidR="0089444A">
        <w:t xml:space="preserve">     </w:t>
      </w:r>
      <w:r w:rsidR="009E1344">
        <w:t xml:space="preserve">   </w:t>
      </w:r>
      <w:r>
        <w:t xml:space="preserve"> starosta obce</w:t>
      </w:r>
    </w:p>
    <w:p w14:paraId="659CCA62" w14:textId="77777777" w:rsidR="003B2A6E" w:rsidRDefault="003B2A6E" w:rsidP="00997687"/>
    <w:p w14:paraId="46373A0F" w14:textId="77777777" w:rsidR="005C4237" w:rsidRDefault="005C4237" w:rsidP="00997687"/>
    <w:p w14:paraId="5B221FEC" w14:textId="77777777" w:rsidR="005C4237" w:rsidRDefault="005C4237" w:rsidP="00997687"/>
    <w:p w14:paraId="4B0D0BE2" w14:textId="77777777" w:rsidR="005E2AC3" w:rsidRDefault="00997687" w:rsidP="00997687">
      <w:r w:rsidRPr="00997687">
        <w:t xml:space="preserve"> V</w:t>
      </w:r>
      <w:r w:rsidR="00241A5E">
        <w:t xml:space="preserve"> obci </w:t>
      </w:r>
      <w:r w:rsidR="0089444A">
        <w:t>Gemerská Panica</w:t>
      </w:r>
      <w:r w:rsidR="006100F5">
        <w:t xml:space="preserve"> dňa 19.05</w:t>
      </w:r>
      <w:r w:rsidR="00EC209B">
        <w:t>.2025</w:t>
      </w:r>
      <w:r>
        <w:t xml:space="preserve">                          </w:t>
      </w:r>
      <w:r w:rsidR="006943DA">
        <w:t>..........................</w:t>
      </w:r>
      <w:r>
        <w:t xml:space="preserve">           </w:t>
      </w:r>
    </w:p>
    <w:p w14:paraId="4E8DC7B9" w14:textId="77777777" w:rsidR="00997687" w:rsidRPr="00997687" w:rsidRDefault="005E2AC3" w:rsidP="00997687">
      <w:r>
        <w:t xml:space="preserve">                                                                                   </w:t>
      </w:r>
      <w:r w:rsidR="00997687" w:rsidRPr="00997687">
        <w:t xml:space="preserve"> Ladi</w:t>
      </w:r>
      <w:r w:rsidR="00EC209B">
        <w:t>slav Kisfaludi-HK obce</w:t>
      </w:r>
    </w:p>
    <w:sectPr w:rsidR="00997687" w:rsidRPr="00997687" w:rsidSect="005C423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83"/>
    <w:multiLevelType w:val="hybridMultilevel"/>
    <w:tmpl w:val="832A7DBA"/>
    <w:lvl w:ilvl="0" w:tplc="B85C263A">
      <w:start w:val="1"/>
      <w:numFmt w:val="lowerLetter"/>
      <w:lvlText w:val="%1)"/>
      <w:lvlJc w:val="left"/>
      <w:pPr>
        <w:tabs>
          <w:tab w:val="num" w:pos="720"/>
        </w:tabs>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D2B6D80"/>
    <w:multiLevelType w:val="hybridMultilevel"/>
    <w:tmpl w:val="F522C238"/>
    <w:lvl w:ilvl="0" w:tplc="47CA93B4">
      <w:start w:val="1"/>
      <w:numFmt w:val="lowerLetter"/>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 w15:restartNumberingAfterBreak="0">
    <w:nsid w:val="324D7180"/>
    <w:multiLevelType w:val="hybridMultilevel"/>
    <w:tmpl w:val="22243E70"/>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7D7612E"/>
    <w:multiLevelType w:val="hybridMultilevel"/>
    <w:tmpl w:val="1294334E"/>
    <w:lvl w:ilvl="0" w:tplc="CE2E521A">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6ED5245D"/>
    <w:multiLevelType w:val="hybridMultilevel"/>
    <w:tmpl w:val="BF1C04DC"/>
    <w:lvl w:ilvl="0" w:tplc="D0BC5DA4">
      <w:start w:val="1"/>
      <w:numFmt w:val="lowerLetter"/>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5" w15:restartNumberingAfterBreak="0">
    <w:nsid w:val="7569044C"/>
    <w:multiLevelType w:val="hybridMultilevel"/>
    <w:tmpl w:val="31E6C454"/>
    <w:lvl w:ilvl="0" w:tplc="CBCE49DE">
      <w:start w:val="1"/>
      <w:numFmt w:val="upperLetter"/>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num w:numId="1" w16cid:durableId="135222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992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1228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017100">
    <w:abstractNumId w:val="5"/>
  </w:num>
  <w:num w:numId="5" w16cid:durableId="1794906295">
    <w:abstractNumId w:val="4"/>
  </w:num>
  <w:num w:numId="6" w16cid:durableId="550961284">
    <w:abstractNumId w:val="1"/>
  </w:num>
  <w:num w:numId="7" w16cid:durableId="18048052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7077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6176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9618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606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3E8D"/>
    <w:rsid w:val="00017E70"/>
    <w:rsid w:val="00095288"/>
    <w:rsid w:val="000D7209"/>
    <w:rsid w:val="000F1E98"/>
    <w:rsid w:val="00126395"/>
    <w:rsid w:val="001404FE"/>
    <w:rsid w:val="0016448A"/>
    <w:rsid w:val="00195DA2"/>
    <w:rsid w:val="001A77CC"/>
    <w:rsid w:val="001E245D"/>
    <w:rsid w:val="00203E21"/>
    <w:rsid w:val="00230658"/>
    <w:rsid w:val="00241A5E"/>
    <w:rsid w:val="0025583D"/>
    <w:rsid w:val="002A470C"/>
    <w:rsid w:val="002B5C7A"/>
    <w:rsid w:val="002C4BF9"/>
    <w:rsid w:val="002C5BA2"/>
    <w:rsid w:val="002E6C72"/>
    <w:rsid w:val="00300FDA"/>
    <w:rsid w:val="00384D5F"/>
    <w:rsid w:val="003B0BE6"/>
    <w:rsid w:val="003B2A6E"/>
    <w:rsid w:val="003F3990"/>
    <w:rsid w:val="0042580D"/>
    <w:rsid w:val="00451F5F"/>
    <w:rsid w:val="004916EC"/>
    <w:rsid w:val="004956EB"/>
    <w:rsid w:val="004E5241"/>
    <w:rsid w:val="004F73E1"/>
    <w:rsid w:val="00510C15"/>
    <w:rsid w:val="00511157"/>
    <w:rsid w:val="00542AD0"/>
    <w:rsid w:val="00592317"/>
    <w:rsid w:val="005A4273"/>
    <w:rsid w:val="005C4237"/>
    <w:rsid w:val="005E2AC3"/>
    <w:rsid w:val="0060551A"/>
    <w:rsid w:val="006100F5"/>
    <w:rsid w:val="00617A6D"/>
    <w:rsid w:val="00624442"/>
    <w:rsid w:val="00653A43"/>
    <w:rsid w:val="006943DA"/>
    <w:rsid w:val="006B2B4C"/>
    <w:rsid w:val="006D12C6"/>
    <w:rsid w:val="00710DC0"/>
    <w:rsid w:val="007244EF"/>
    <w:rsid w:val="00753C37"/>
    <w:rsid w:val="00755AC3"/>
    <w:rsid w:val="007B2CD0"/>
    <w:rsid w:val="007E543B"/>
    <w:rsid w:val="008001B3"/>
    <w:rsid w:val="00812729"/>
    <w:rsid w:val="008312CC"/>
    <w:rsid w:val="00847A76"/>
    <w:rsid w:val="00865EE7"/>
    <w:rsid w:val="00866D53"/>
    <w:rsid w:val="0088699D"/>
    <w:rsid w:val="0089444A"/>
    <w:rsid w:val="008A534B"/>
    <w:rsid w:val="008A6382"/>
    <w:rsid w:val="008B3831"/>
    <w:rsid w:val="008B4710"/>
    <w:rsid w:val="008D0A46"/>
    <w:rsid w:val="008E3E8D"/>
    <w:rsid w:val="009322F7"/>
    <w:rsid w:val="009815A7"/>
    <w:rsid w:val="00986FB2"/>
    <w:rsid w:val="00997687"/>
    <w:rsid w:val="009B37D2"/>
    <w:rsid w:val="009D3940"/>
    <w:rsid w:val="009E0D52"/>
    <w:rsid w:val="009E10F0"/>
    <w:rsid w:val="009E1344"/>
    <w:rsid w:val="009E1597"/>
    <w:rsid w:val="009E738D"/>
    <w:rsid w:val="00A21274"/>
    <w:rsid w:val="00A41704"/>
    <w:rsid w:val="00A51A6E"/>
    <w:rsid w:val="00AF1B67"/>
    <w:rsid w:val="00B53857"/>
    <w:rsid w:val="00B57B37"/>
    <w:rsid w:val="00BB3778"/>
    <w:rsid w:val="00C1076A"/>
    <w:rsid w:val="00C338EE"/>
    <w:rsid w:val="00CA77E9"/>
    <w:rsid w:val="00CC0668"/>
    <w:rsid w:val="00CE3BB1"/>
    <w:rsid w:val="00D01E47"/>
    <w:rsid w:val="00D24837"/>
    <w:rsid w:val="00D9048C"/>
    <w:rsid w:val="00D954F2"/>
    <w:rsid w:val="00E75888"/>
    <w:rsid w:val="00E83AE5"/>
    <w:rsid w:val="00EC209B"/>
    <w:rsid w:val="00ED6FFF"/>
    <w:rsid w:val="00EF3FD7"/>
    <w:rsid w:val="00F35355"/>
    <w:rsid w:val="00F66529"/>
    <w:rsid w:val="00F75608"/>
    <w:rsid w:val="00F90859"/>
    <w:rsid w:val="00F94D8E"/>
    <w:rsid w:val="00FA51FF"/>
    <w:rsid w:val="00FC10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131C"/>
  <w15:docId w15:val="{E27C4A8A-1D3E-4340-8C5A-FF3E4CD4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3E8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D12C6"/>
    <w:pPr>
      <w:ind w:left="720"/>
      <w:contextualSpacing/>
    </w:pPr>
  </w:style>
  <w:style w:type="paragraph" w:customStyle="1" w:styleId="Default">
    <w:name w:val="Default"/>
    <w:rsid w:val="006943DA"/>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753C37"/>
    <w:rPr>
      <w:color w:val="0000FF" w:themeColor="hyperlink"/>
      <w:u w:val="single"/>
    </w:rPr>
  </w:style>
  <w:style w:type="paragraph" w:styleId="Hlavika">
    <w:name w:val="header"/>
    <w:basedOn w:val="Normlny"/>
    <w:link w:val="HlavikaChar"/>
    <w:uiPriority w:val="99"/>
    <w:unhideWhenUsed/>
    <w:rsid w:val="00451F5F"/>
    <w:pPr>
      <w:tabs>
        <w:tab w:val="center" w:pos="4536"/>
        <w:tab w:val="right" w:pos="9072"/>
      </w:tabs>
    </w:pPr>
  </w:style>
  <w:style w:type="character" w:customStyle="1" w:styleId="HlavikaChar">
    <w:name w:val="Hlavička Char"/>
    <w:basedOn w:val="Predvolenpsmoodseku"/>
    <w:link w:val="Hlavika"/>
    <w:uiPriority w:val="99"/>
    <w:rsid w:val="00451F5F"/>
    <w:rPr>
      <w:rFonts w:ascii="Times New Roman" w:eastAsia="Times New Roman" w:hAnsi="Times New Roman" w:cs="Times New Roman"/>
      <w:sz w:val="24"/>
      <w:szCs w:val="24"/>
      <w:lang w:eastAsia="sk-SK"/>
    </w:rPr>
  </w:style>
  <w:style w:type="paragraph" w:styleId="Pta">
    <w:name w:val="footer"/>
    <w:basedOn w:val="Normlny"/>
    <w:link w:val="PtaChar"/>
    <w:unhideWhenUsed/>
    <w:rsid w:val="00451F5F"/>
    <w:pPr>
      <w:tabs>
        <w:tab w:val="center" w:pos="4536"/>
        <w:tab w:val="right" w:pos="9072"/>
      </w:tabs>
    </w:pPr>
  </w:style>
  <w:style w:type="character" w:customStyle="1" w:styleId="PtaChar">
    <w:name w:val="Päta Char"/>
    <w:basedOn w:val="Predvolenpsmoodseku"/>
    <w:link w:val="Pta"/>
    <w:rsid w:val="00451F5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9386">
      <w:bodyDiv w:val="1"/>
      <w:marLeft w:val="0"/>
      <w:marRight w:val="0"/>
      <w:marTop w:val="0"/>
      <w:marBottom w:val="0"/>
      <w:divBdr>
        <w:top w:val="none" w:sz="0" w:space="0" w:color="auto"/>
        <w:left w:val="none" w:sz="0" w:space="0" w:color="auto"/>
        <w:bottom w:val="none" w:sz="0" w:space="0" w:color="auto"/>
        <w:right w:val="none" w:sz="0" w:space="0" w:color="auto"/>
      </w:divBdr>
    </w:div>
    <w:div w:id="498541811">
      <w:bodyDiv w:val="1"/>
      <w:marLeft w:val="0"/>
      <w:marRight w:val="0"/>
      <w:marTop w:val="0"/>
      <w:marBottom w:val="0"/>
      <w:divBdr>
        <w:top w:val="none" w:sz="0" w:space="0" w:color="auto"/>
        <w:left w:val="none" w:sz="0" w:space="0" w:color="auto"/>
        <w:bottom w:val="none" w:sz="0" w:space="0" w:color="auto"/>
        <w:right w:val="none" w:sz="0" w:space="0" w:color="auto"/>
      </w:divBdr>
    </w:div>
    <w:div w:id="935213909">
      <w:bodyDiv w:val="1"/>
      <w:marLeft w:val="0"/>
      <w:marRight w:val="0"/>
      <w:marTop w:val="0"/>
      <w:marBottom w:val="0"/>
      <w:divBdr>
        <w:top w:val="none" w:sz="0" w:space="0" w:color="auto"/>
        <w:left w:val="none" w:sz="0" w:space="0" w:color="auto"/>
        <w:bottom w:val="none" w:sz="0" w:space="0" w:color="auto"/>
        <w:right w:val="none" w:sz="0" w:space="0" w:color="auto"/>
      </w:divBdr>
    </w:div>
    <w:div w:id="959261923">
      <w:bodyDiv w:val="1"/>
      <w:marLeft w:val="0"/>
      <w:marRight w:val="0"/>
      <w:marTop w:val="0"/>
      <w:marBottom w:val="0"/>
      <w:divBdr>
        <w:top w:val="none" w:sz="0" w:space="0" w:color="auto"/>
        <w:left w:val="none" w:sz="0" w:space="0" w:color="auto"/>
        <w:bottom w:val="none" w:sz="0" w:space="0" w:color="auto"/>
        <w:right w:val="none" w:sz="0" w:space="0" w:color="auto"/>
      </w:divBdr>
    </w:div>
    <w:div w:id="1080954545">
      <w:bodyDiv w:val="1"/>
      <w:marLeft w:val="0"/>
      <w:marRight w:val="0"/>
      <w:marTop w:val="0"/>
      <w:marBottom w:val="0"/>
      <w:divBdr>
        <w:top w:val="none" w:sz="0" w:space="0" w:color="auto"/>
        <w:left w:val="none" w:sz="0" w:space="0" w:color="auto"/>
        <w:bottom w:val="none" w:sz="0" w:space="0" w:color="auto"/>
        <w:right w:val="none" w:sz="0" w:space="0" w:color="auto"/>
      </w:divBdr>
    </w:div>
    <w:div w:id="1270116746">
      <w:bodyDiv w:val="1"/>
      <w:marLeft w:val="0"/>
      <w:marRight w:val="0"/>
      <w:marTop w:val="0"/>
      <w:marBottom w:val="0"/>
      <w:divBdr>
        <w:top w:val="none" w:sz="0" w:space="0" w:color="auto"/>
        <w:left w:val="none" w:sz="0" w:space="0" w:color="auto"/>
        <w:bottom w:val="none" w:sz="0" w:space="0" w:color="auto"/>
        <w:right w:val="none" w:sz="0" w:space="0" w:color="auto"/>
      </w:divBdr>
    </w:div>
    <w:div w:id="1719085584">
      <w:bodyDiv w:val="1"/>
      <w:marLeft w:val="0"/>
      <w:marRight w:val="0"/>
      <w:marTop w:val="0"/>
      <w:marBottom w:val="0"/>
      <w:divBdr>
        <w:top w:val="none" w:sz="0" w:space="0" w:color="auto"/>
        <w:left w:val="none" w:sz="0" w:space="0" w:color="auto"/>
        <w:bottom w:val="none" w:sz="0" w:space="0" w:color="auto"/>
        <w:right w:val="none" w:sz="0" w:space="0" w:color="auto"/>
      </w:divBdr>
    </w:div>
    <w:div w:id="1955793638">
      <w:bodyDiv w:val="1"/>
      <w:marLeft w:val="0"/>
      <w:marRight w:val="0"/>
      <w:marTop w:val="0"/>
      <w:marBottom w:val="0"/>
      <w:divBdr>
        <w:top w:val="none" w:sz="0" w:space="0" w:color="auto"/>
        <w:left w:val="none" w:sz="0" w:space="0" w:color="auto"/>
        <w:bottom w:val="none" w:sz="0" w:space="0" w:color="auto"/>
        <w:right w:val="none" w:sz="0" w:space="0" w:color="auto"/>
      </w:divBdr>
    </w:div>
    <w:div w:id="1990209088">
      <w:bodyDiv w:val="1"/>
      <w:marLeft w:val="0"/>
      <w:marRight w:val="0"/>
      <w:marTop w:val="0"/>
      <w:marBottom w:val="0"/>
      <w:divBdr>
        <w:top w:val="none" w:sz="0" w:space="0" w:color="auto"/>
        <w:left w:val="none" w:sz="0" w:space="0" w:color="auto"/>
        <w:bottom w:val="none" w:sz="0" w:space="0" w:color="auto"/>
        <w:right w:val="none" w:sz="0" w:space="0" w:color="auto"/>
      </w:divBdr>
    </w:div>
    <w:div w:id="2002660492">
      <w:bodyDiv w:val="1"/>
      <w:marLeft w:val="0"/>
      <w:marRight w:val="0"/>
      <w:marTop w:val="0"/>
      <w:marBottom w:val="0"/>
      <w:divBdr>
        <w:top w:val="none" w:sz="0" w:space="0" w:color="auto"/>
        <w:left w:val="none" w:sz="0" w:space="0" w:color="auto"/>
        <w:bottom w:val="none" w:sz="0" w:space="0" w:color="auto"/>
        <w:right w:val="none" w:sz="0" w:space="0" w:color="auto"/>
      </w:divBdr>
    </w:div>
    <w:div w:id="20273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ssr.sk/main/goto.ashx?t=26&amp;p=1021871&amp;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ssr.sk/main/goto.ashx?t=27&amp;p=3850947-3850948&amp;f=2" TargetMode="External"/><Relationship Id="rId5" Type="http://schemas.openxmlformats.org/officeDocument/2006/relationships/hyperlink" Target="https://www.vssr.sk/main/goto.ashx?t=27&amp;p=3850945-3850946&amp;f=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1151</Words>
  <Characters>6561</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Kisfaludi</dc:creator>
  <cp:lastModifiedBy>Gemerská Panica</cp:lastModifiedBy>
  <cp:revision>18</cp:revision>
  <dcterms:created xsi:type="dcterms:W3CDTF">2025-05-22T06:19:00Z</dcterms:created>
  <dcterms:modified xsi:type="dcterms:W3CDTF">2025-06-25T07:10:00Z</dcterms:modified>
</cp:coreProperties>
</file>