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lotextu"/>
        <w:rPr/>
      </w:pPr>
      <w:r>
        <w:rPr>
          <w:rFonts w:ascii="Times New Roman" w:hAnsi="Times New Roman"/>
          <w:sz w:val="28"/>
          <w:szCs w:val="28"/>
        </w:rPr>
        <w:t>Obec Proč</w:t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___________________________________________________________</w:t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/>
      </w:pPr>
      <w:r>
        <w:rPr>
          <w:rFonts w:ascii="Times New Roman" w:hAnsi="Times New Roman"/>
          <w:sz w:val="40"/>
          <w:szCs w:val="40"/>
        </w:rPr>
        <w:br/>
      </w:r>
      <w:r>
        <w:rPr>
          <w:rFonts w:ascii="Times New Roman" w:hAnsi="Times New Roman"/>
          <w:sz w:val="48"/>
          <w:szCs w:val="48"/>
        </w:rPr>
        <w:t>Všeobecne záväzné nariadenie č. 1/2021</w:t>
      </w:r>
    </w:p>
    <w:p>
      <w:pPr>
        <w:pStyle w:val="Telotextu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</w:r>
    </w:p>
    <w:p>
      <w:pPr>
        <w:pStyle w:val="Telotextu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o určení výšky príspevku na čiastočnú úhradu </w:t>
      </w:r>
    </w:p>
    <w:p>
      <w:pPr>
        <w:pStyle w:val="Telotextu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nákladov, výšky príspevku na režijné náklady a </w:t>
      </w:r>
    </w:p>
    <w:p>
      <w:pPr>
        <w:pStyle w:val="Telotextu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podmienky úhrady v školskej jedálni v </w:t>
      </w:r>
    </w:p>
    <w:p>
      <w:pPr>
        <w:pStyle w:val="Telotextu"/>
        <w:rPr/>
      </w:pPr>
      <w:r>
        <w:rPr>
          <w:rFonts w:ascii="Times New Roman" w:hAnsi="Times New Roman"/>
          <w:sz w:val="36"/>
          <w:szCs w:val="36"/>
        </w:rPr>
        <w:t>zriaďovateľskej pôsobnosti obce Proč</w:t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ind w:left="4248" w:firstLine="708"/>
        <w:jc w:val="center"/>
        <w:rPr>
          <w:sz w:val="24"/>
        </w:rPr>
      </w:pPr>
      <w:r>
        <w:rPr>
          <w:sz w:val="24"/>
        </w:rPr>
        <w:t xml:space="preserve">  </w:t>
      </w:r>
    </w:p>
    <w:p>
      <w:pPr>
        <w:pStyle w:val="Telotextu"/>
        <w:jc w:val="left"/>
        <w:rPr/>
      </w:pPr>
      <w:r>
        <w:rPr>
          <w:rFonts w:ascii="Times New Roman" w:hAnsi="Times New Roman"/>
          <w:b w:val="false"/>
          <w:sz w:val="24"/>
          <w:szCs w:val="24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/>
          <w:b w:val="false"/>
          <w:sz w:val="24"/>
          <w:szCs w:val="24"/>
        </w:rPr>
        <w:t>Ján Pavuk</w:t>
      </w:r>
    </w:p>
    <w:p>
      <w:pPr>
        <w:pStyle w:val="Telotextu"/>
        <w:ind w:left="4956" w:firstLine="708"/>
        <w:jc w:val="left"/>
        <w:rPr>
          <w:rFonts w:ascii="Times New Roman" w:hAnsi="Times New Roman"/>
          <w:b w:val="false"/>
          <w:b w:val="false"/>
          <w:sz w:val="24"/>
          <w:szCs w:val="24"/>
        </w:rPr>
      </w:pPr>
      <w:r>
        <w:rPr>
          <w:rFonts w:ascii="Times New Roman" w:hAnsi="Times New Roman"/>
          <w:b w:val="false"/>
          <w:sz w:val="24"/>
          <w:szCs w:val="24"/>
        </w:rPr>
        <w:t xml:space="preserve">           </w:t>
      </w:r>
      <w:r>
        <w:rPr>
          <w:rFonts w:ascii="Times New Roman" w:hAnsi="Times New Roman"/>
          <w:b w:val="false"/>
          <w:sz w:val="24"/>
          <w:szCs w:val="24"/>
        </w:rPr>
        <w:t xml:space="preserve">starosta obce </w:t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Telotextu"/>
        <w:ind w:left="4956" w:hanging="6373"/>
        <w:rPr/>
      </w:pPr>
      <w:r>
        <w:rPr>
          <w:rFonts w:ascii="Times New Roman" w:hAnsi="Times New Roman"/>
          <w:sz w:val="28"/>
          <w:szCs w:val="28"/>
        </w:rPr>
        <w:t xml:space="preserve">                   </w:t>
      </w:r>
      <w:r>
        <w:rPr>
          <w:rFonts w:ascii="Times New Roman" w:hAnsi="Times New Roman"/>
          <w:sz w:val="28"/>
          <w:szCs w:val="28"/>
        </w:rPr>
        <w:t>Všeobecne záväzné nariadenie Obce  Proč č. 1/2021</w:t>
      </w:r>
      <w:bookmarkStart w:id="0" w:name="_Toc473427481"/>
      <w:bookmarkEnd w:id="0"/>
    </w:p>
    <w:p>
      <w:pPr>
        <w:pStyle w:val="Telotextu"/>
        <w:rPr/>
      </w:pPr>
      <w:r>
        <w:rPr>
          <w:rFonts w:ascii="Times New Roman" w:hAnsi="Times New Roman"/>
          <w:b w:val="false"/>
          <w:sz w:val="28"/>
          <w:szCs w:val="28"/>
        </w:rPr>
        <w:t>o určení výšky príspevku na čiastočnú úhradu nákladov, výšky príspevku na režijné náklady a podmienky úhrady v školskej jedálni v zriaďovateľskej pôsobnosti obce Proč</w:t>
      </w:r>
    </w:p>
    <w:p>
      <w:pPr>
        <w:pStyle w:val="Telotextu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NewRomanPSMT" w:ascii="TimesNewRomanPSMT" w:hAnsi="TimesNewRomanPSMT"/>
          <w:sz w:val="24"/>
          <w:szCs w:val="24"/>
        </w:rPr>
        <w:t>Obecné zastupiteľstvo obce Proč na základe samosprávnej pôsobnosti podľa ustanovenia § 6 ods. 1 a § 11 ods. 4 písm. g) zákona č. 369/1990 Zb. o obecnom zriadení v znení neskorších predpisov a podľa § 140 ods. 10 zákona č. 245/2008 Z. z. o výchove a vzdelávaní ( školský zákon) a o zmene a doplnení niektorých zákonov v znení neskorších predpisov</w:t>
      </w:r>
    </w:p>
    <w:p>
      <w:pPr>
        <w:pStyle w:val="Normal"/>
        <w:jc w:val="center"/>
        <w:rPr>
          <w:rFonts w:ascii="TimesNewRomanPSMT" w:hAnsi="TimesNewRomanPSMT" w:cs="TimesNewRomanPSMT"/>
          <w:b/>
          <w:b/>
          <w:sz w:val="24"/>
          <w:szCs w:val="24"/>
        </w:rPr>
      </w:pPr>
      <w:r>
        <w:rPr>
          <w:rFonts w:cs="TimesNewRomanPSMT" w:ascii="TimesNewRomanPSMT" w:hAnsi="TimesNewRomanPSMT"/>
          <w:b/>
          <w:sz w:val="24"/>
          <w:szCs w:val="24"/>
        </w:rPr>
        <w:t>vydáva</w:t>
      </w:r>
    </w:p>
    <w:p>
      <w:pPr>
        <w:pStyle w:val="Normal"/>
        <w:jc w:val="center"/>
        <w:rPr>
          <w:rFonts w:ascii="TimesNewRomanPSMT" w:hAnsi="TimesNewRomanPSMT" w:cs="TimesNewRomanPSMT"/>
          <w:b/>
          <w:b/>
          <w:sz w:val="24"/>
          <w:szCs w:val="24"/>
        </w:rPr>
      </w:pPr>
      <w:r>
        <w:rPr>
          <w:rFonts w:cs="TimesNewRomanPSMT" w:ascii="TimesNewRomanPSMT" w:hAnsi="TimesNewRomanPSMT"/>
          <w:b/>
          <w:sz w:val="24"/>
          <w:szCs w:val="24"/>
        </w:rPr>
      </w:r>
    </w:p>
    <w:p>
      <w:pPr>
        <w:pStyle w:val="Normal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  <w:t>toto všeobecne záväzné nariadenie, ktorým sa určuje výška príspevku na čiastočnú úhradu nákladov, výška príspevku na režijné náklady a podmienky úhrady v školskej jedálni v zriaďovateľskej pôsobnosti obce.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Článok 1 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Úvodné ustanovenia 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2"/>
        <w:numPr>
          <w:ilvl w:val="0"/>
          <w:numId w:val="2"/>
        </w:numPr>
        <w:ind w:left="336" w:hanging="360"/>
        <w:rPr>
          <w:rFonts w:ascii="TimesNewRomanPSMT" w:hAnsi="TimesNewRomanPSMT" w:cs="TimesNewRomanPSMT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Predmetom</w:t>
      </w:r>
      <w:r>
        <w:rPr>
          <w:rFonts w:cs="TimesNewRomanPSMT" w:ascii="TimesNewRomanPSMT" w:hAnsi="TimesNewRomanPSMT"/>
          <w:sz w:val="24"/>
          <w:szCs w:val="24"/>
        </w:rPr>
        <w:t xml:space="preserve"> tohto všeobecne záväzného nariadenia ( ďalej len „VZN“ ) je určiť výšku príspevku na čiastočnú úhradu nákladov, výšku príspevku na režijné náklady a podmienky úhrady v školskej jedálni zriadenej na území obce Pušovce, ktorej zriaďovateľom je obec.</w:t>
      </w:r>
    </w:p>
    <w:p>
      <w:pPr>
        <w:pStyle w:val="BodyText2"/>
        <w:numPr>
          <w:ilvl w:val="0"/>
          <w:numId w:val="2"/>
        </w:numPr>
        <w:ind w:left="336" w:hanging="360"/>
        <w:rPr/>
      </w:pPr>
      <w:r>
        <w:rPr>
          <w:rFonts w:cs="TimesNewRomanPSMT" w:ascii="TimesNewRomanPSMT" w:hAnsi="TimesNewRomanPSMT"/>
          <w:sz w:val="24"/>
          <w:szCs w:val="24"/>
        </w:rPr>
        <w:t>Obec je zriaďovateľom zariadenia školského stravovania - školskej jedálne: Materská škola Proč</w:t>
      </w:r>
    </w:p>
    <w:p>
      <w:pPr>
        <w:pStyle w:val="BodyText2"/>
        <w:ind w:left="336" w:hanging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BodyText2"/>
        <w:numPr>
          <w:ilvl w:val="0"/>
          <w:numId w:val="2"/>
        </w:numPr>
        <w:ind w:left="336" w:hanging="360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cs="TimesNewRomanPSMT" w:ascii="TimesNewRomanPSMT" w:hAnsi="TimesNewRomanPSMT"/>
          <w:color w:val="000000"/>
          <w:sz w:val="24"/>
          <w:szCs w:val="24"/>
        </w:rPr>
        <w:t>Stravníkom v školskej jedálni môžu byť deti, žiaci, zamestnanci škôl a školských zariadení; so súhlasom zriaďovateľa a príslušného regionálneho úradu verejného zdravotníctva sa môžu v školskej jedálni stravovať aj iné fyzické osoby (§140 ods. 3 zákona č.245/2008 Z. z.).</w:t>
      </w:r>
    </w:p>
    <w:p>
      <w:pPr>
        <w:pStyle w:val="BodyText2"/>
        <w:rPr>
          <w:rFonts w:ascii="TimesNewRomanPSMT" w:hAnsi="TimesNewRomanPSMT" w:cs="TimesNewRomanPSMT"/>
          <w:color w:val="000000"/>
          <w:sz w:val="24"/>
          <w:szCs w:val="24"/>
        </w:rPr>
      </w:pPr>
      <w:r>
        <w:rPr>
          <w:rFonts w:cs="TimesNewRomanPSMT" w:ascii="TimesNewRomanPSMT" w:hAnsi="TimesNewRomanPSMT"/>
          <w:color w:val="000000"/>
          <w:sz w:val="24"/>
          <w:szCs w:val="24"/>
        </w:rPr>
      </w:r>
    </w:p>
    <w:p>
      <w:pPr>
        <w:pStyle w:val="BodyText2"/>
        <w:numPr>
          <w:ilvl w:val="0"/>
          <w:numId w:val="2"/>
        </w:numPr>
        <w:ind w:left="336" w:hanging="360"/>
        <w:rPr>
          <w:rFonts w:ascii="TimesNewRomanPSMT" w:hAnsi="TimesNewRomanPSMT" w:cs="TimesNewRomanPSMT"/>
          <w:color w:val="030303"/>
          <w:sz w:val="24"/>
          <w:szCs w:val="24"/>
        </w:rPr>
      </w:pPr>
      <w:r>
        <w:rPr>
          <w:rFonts w:cs="TimesNewRomanPSMT" w:ascii="TimesNewRomanPSMT" w:hAnsi="TimesNewRomanPSMT"/>
          <w:color w:val="030303"/>
          <w:sz w:val="24"/>
          <w:szCs w:val="24"/>
        </w:rPr>
        <w:t xml:space="preserve">Školská jedáleň, </w:t>
      </w:r>
      <w:r>
        <w:rPr>
          <w:rFonts w:cs="TimesNewRomanPSMT" w:ascii="TimesNewRomanPSMT" w:hAnsi="TimesNewRomanPSMT"/>
          <w:sz w:val="24"/>
          <w:szCs w:val="24"/>
        </w:rPr>
        <w:t>poskytuje</w:t>
      </w:r>
      <w:r>
        <w:rPr>
          <w:rFonts w:cs="TimesNewRomanPSMT" w:ascii="TimesNewRomanPSMT" w:hAnsi="TimesNewRomanPSMT"/>
          <w:color w:val="030303"/>
          <w:sz w:val="24"/>
          <w:szCs w:val="24"/>
        </w:rPr>
        <w:t xml:space="preserve"> stravovanie deťom a žiakom za čiastočnú úhradu nákladov, ktoré uhrádza zákonný zástupca vo výške nákladov na nákup potravín podľa vekových kategórií stravníkov v nadväznosti na odporúčané výživové dávky. Zákonný zástupca čiastočne prispieva aj na úhradu režijných nákladov na prevádzku zariadenia školského stravovania.</w:t>
      </w:r>
    </w:p>
    <w:p>
      <w:pPr>
        <w:pStyle w:val="ListParagraph"/>
        <w:rPr>
          <w:rFonts w:ascii="TimesNewRomanPSMT" w:hAnsi="TimesNewRomanPSMT" w:cs="TimesNewRomanPSMT"/>
          <w:color w:val="030303"/>
          <w:sz w:val="24"/>
          <w:szCs w:val="24"/>
        </w:rPr>
      </w:pPr>
      <w:r>
        <w:rPr>
          <w:rFonts w:cs="TimesNewRomanPSMT" w:ascii="TimesNewRomanPSMT" w:hAnsi="TimesNewRomanPSMT"/>
          <w:color w:val="030303"/>
          <w:sz w:val="24"/>
          <w:szCs w:val="24"/>
        </w:rPr>
      </w:r>
    </w:p>
    <w:p>
      <w:pPr>
        <w:pStyle w:val="BodyText2"/>
        <w:numPr>
          <w:ilvl w:val="0"/>
          <w:numId w:val="2"/>
        </w:numPr>
        <w:ind w:left="336" w:hanging="36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color w:val="030303"/>
          <w:sz w:val="24"/>
          <w:szCs w:val="24"/>
        </w:rPr>
        <w:t>Finančné</w:t>
      </w:r>
      <w:r>
        <w:rPr>
          <w:rFonts w:cs="TimesNewRomanPSMT" w:ascii="TimesNewRomanPSMT" w:hAnsi="TimesNewRomanPSMT"/>
          <w:sz w:val="24"/>
          <w:szCs w:val="24"/>
        </w:rPr>
        <w:t xml:space="preserve"> pásma sú stanovené Ministerstvom školstva, vedy, výskumu a športu SR, určujú náklady na nákup potravín na jedno jedlo podľa vekových kategórií stravníkov a príspevok zákonného zástupcu dieťaťa a žiaka vo výške nákladov na nákup potravín.</w:t>
      </w:r>
    </w:p>
    <w:p>
      <w:pPr>
        <w:pStyle w:val="Normal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Článok 2 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Určenie výšky príspevku </w:t>
      </w:r>
    </w:p>
    <w:p>
      <w:pPr>
        <w:pStyle w:val="Normal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  <w:t>1) Za pobyt dieťaťa v materskej škole prispieva zákonný zástupca na čiastočnú úhradu výdavkov materskej školy mesačne na jedno dieťa 5,00 €.</w:t>
      </w:r>
    </w:p>
    <w:p>
      <w:pPr>
        <w:pStyle w:val="Normal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  <w:t>2) Príspevok podľa odseku 1 sa uhrádza do 15. dňa príslušného kalendárneho mesiaca.</w:t>
      </w:r>
    </w:p>
    <w:p>
      <w:pPr>
        <w:pStyle w:val="Normal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  <w:t>3) Príspevok v materskej škole sa neuhrádza za dieťa:</w:t>
      </w:r>
    </w:p>
    <w:p>
      <w:pPr>
        <w:pStyle w:val="Normal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  <w:t xml:space="preserve">     </w:t>
      </w:r>
      <w:r>
        <w:rPr>
          <w:rFonts w:cs="TimesNewRomanPSMT" w:ascii="TimesNewRomanPSMT" w:hAnsi="TimesNewRomanPSMT"/>
          <w:sz w:val="24"/>
          <w:szCs w:val="24"/>
        </w:rPr>
        <w:t>a) ktoré má jeden rok pred plnením povinnej školskej dochádzky,</w:t>
      </w:r>
    </w:p>
    <w:p>
      <w:pPr>
        <w:pStyle w:val="Normal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  <w:t xml:space="preserve">     </w:t>
      </w:r>
      <w:r>
        <w:rPr>
          <w:rFonts w:cs="TimesNewRomanPSMT" w:ascii="TimesNewRomanPSMT" w:hAnsi="TimesNewRomanPSMT"/>
          <w:sz w:val="24"/>
          <w:szCs w:val="24"/>
        </w:rPr>
        <w:t xml:space="preserve">b) ak zákonný zástupca dieťaťa predloží riaditeľovi materskej školy doklad o tom, že je </w:t>
      </w:r>
    </w:p>
    <w:p>
      <w:pPr>
        <w:pStyle w:val="Normal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  <w:t xml:space="preserve">         </w:t>
      </w:r>
      <w:r>
        <w:rPr>
          <w:rFonts w:cs="TimesNewRomanPSMT" w:ascii="TimesNewRomanPSMT" w:hAnsi="TimesNewRomanPSMT"/>
          <w:sz w:val="24"/>
          <w:szCs w:val="24"/>
        </w:rPr>
        <w:t xml:space="preserve">poberateľom dávky v hmotnej núdzi a príspevkov k dávke v hmotnej núdzi </w:t>
      </w:r>
    </w:p>
    <w:p>
      <w:pPr>
        <w:pStyle w:val="Normal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  <w:t xml:space="preserve">      </w:t>
      </w:r>
      <w:r>
        <w:rPr>
          <w:rFonts w:cs="TimesNewRomanPSMT" w:ascii="TimesNewRomanPSMT" w:hAnsi="TimesNewRomanPSMT"/>
          <w:sz w:val="24"/>
          <w:szCs w:val="24"/>
        </w:rPr>
        <w:t>c) ktoré je umiestnené v zariadení na základe rozhodnutia súdu</w:t>
      </w:r>
    </w:p>
    <w:p>
      <w:pPr>
        <w:pStyle w:val="Normal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  <w:t>d) ktoré má prerušenú dochádzku do materskej školy na viac ako tridsať po sebe nasledujúcich kalendárnych dní z dôvodu choroby alebo rodinných dôvodov    ukázateľným spôsobom ( zákonný zástupca predloží potvrdenie od lekára alebo čestné prehlá enie o rodinných dôvodoch)</w:t>
      </w:r>
    </w:p>
    <w:p>
      <w:pPr>
        <w:pStyle w:val="Normal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Normal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BodyText2"/>
        <w:numPr>
          <w:ilvl w:val="0"/>
          <w:numId w:val="0"/>
        </w:numPr>
        <w:ind w:left="360" w:hanging="0"/>
        <w:rPr>
          <w:rFonts w:ascii="TimesNewRomanPSMT" w:hAnsi="TimesNewRomanPSMT" w:cs="TimesNewRomanPSMT"/>
          <w:color w:val="FF0000"/>
          <w:sz w:val="24"/>
          <w:szCs w:val="24"/>
        </w:rPr>
      </w:pPr>
      <w:r>
        <w:rPr>
          <w:rFonts w:cs="TimesNewRomanPSMT" w:ascii="TimesNewRomanPSMT" w:hAnsi="TimesNewRomanPSMT"/>
          <w:color w:val="030303"/>
          <w:sz w:val="24"/>
          <w:szCs w:val="24"/>
        </w:rPr>
        <w:t>4) Príspevok</w:t>
      </w:r>
      <w:r>
        <w:rPr>
          <w:rFonts w:cs="TimesNewRomanPSMT" w:ascii="TimesNewRomanPSMT" w:hAnsi="TimesNewRomanPSMT"/>
          <w:sz w:val="24"/>
          <w:szCs w:val="24"/>
        </w:rPr>
        <w:t xml:space="preserve"> na úhradu režijných nákladov na prevádzku zariadenia školského stravovania je stanovený vo výške:</w:t>
      </w:r>
    </w:p>
    <w:p>
      <w:pPr>
        <w:pStyle w:val="Default"/>
        <w:jc w:val="both"/>
        <w:rPr/>
      </w:pPr>
      <w:r>
        <w:rPr>
          <w:rFonts w:cs="TimesNewRomanPSMT" w:ascii="TimesNewRomanPSMT" w:hAnsi="TimesNewRomanPSMT"/>
        </w:rPr>
        <w:t xml:space="preserve">      </w:t>
      </w:r>
      <w:r>
        <w:rPr>
          <w:rFonts w:cs="TimesNewRomanPSMT" w:ascii="TimesNewRomanPSMT" w:hAnsi="TimesNewRomanPSMT"/>
        </w:rPr>
        <w:t>- pre dôchodcov je  0,86 €</w:t>
      </w:r>
    </w:p>
    <w:p>
      <w:pPr>
        <w:pStyle w:val="Default"/>
        <w:jc w:val="both"/>
        <w:rPr/>
      </w:pPr>
      <w:r>
        <w:rPr>
          <w:rFonts w:cs="TimesNewRomanPSMT" w:ascii="TimesNewRomanPSMT" w:hAnsi="TimesNewRomanPSMT"/>
        </w:rPr>
        <w:t xml:space="preserve">      </w:t>
      </w:r>
      <w:r>
        <w:rPr>
          <w:rFonts w:cs="TimesNewRomanPSMT" w:ascii="TimesNewRomanPSMT" w:hAnsi="TimesNewRomanPSMT"/>
        </w:rPr>
        <w:t>- pre  ostatné fyzické osoby je 1,72 €</w:t>
      </w:r>
    </w:p>
    <w:p>
      <w:pPr>
        <w:pStyle w:val="BodyText2"/>
        <w:rPr>
          <w:rFonts w:ascii="TimesNewRomanPSMT" w:hAnsi="TimesNewRomanPSMT" w:cs="TimesNewRomanPSMT"/>
          <w:color w:val="FF0000"/>
          <w:sz w:val="24"/>
          <w:szCs w:val="24"/>
        </w:rPr>
      </w:pPr>
      <w:r>
        <w:rPr>
          <w:rFonts w:cs="TimesNewRomanPSMT" w:ascii="TimesNewRomanPSMT" w:hAnsi="TimesNewRomanPSMT"/>
          <w:color w:val="FF0000"/>
          <w:sz w:val="24"/>
          <w:szCs w:val="24"/>
        </w:rPr>
      </w:r>
    </w:p>
    <w:p>
      <w:pPr>
        <w:pStyle w:val="BodyText2"/>
        <w:ind w:left="360" w:hanging="0"/>
        <w:rPr>
          <w:rFonts w:ascii="TimesNewRomanPSMT" w:hAnsi="TimesNewRomanPSMT" w:cs="TimesNewRomanPSMT"/>
          <w:color w:val="FF0000"/>
          <w:sz w:val="24"/>
          <w:szCs w:val="24"/>
        </w:rPr>
      </w:pPr>
      <w:r>
        <w:rPr>
          <w:rFonts w:cs="TimesNewRomanPSMT" w:ascii="TimesNewRomanPSMT" w:hAnsi="TimesNewRomanPSMT"/>
          <w:color w:val="FF0000"/>
          <w:sz w:val="24"/>
          <w:szCs w:val="24"/>
        </w:rPr>
      </w:r>
    </w:p>
    <w:p>
      <w:pPr>
        <w:pStyle w:val="Default"/>
        <w:numPr>
          <w:ilvl w:val="0"/>
          <w:numId w:val="0"/>
        </w:numPr>
        <w:ind w:left="360" w:hanging="0"/>
        <w:rPr/>
      </w:pPr>
      <w:r>
        <w:rPr>
          <w:color w:val="auto"/>
        </w:rPr>
        <w:t>5) Obec Proč</w:t>
      </w:r>
      <w:r>
        <w:rPr/>
        <w:t xml:space="preserve"> určuje výšku príspevku na stravovanie v školskej jedálni na stravníka a jedlo v čase ich pobytu v škole alebo školskom zariadení nasledovne: </w:t>
      </w:r>
    </w:p>
    <w:p>
      <w:pPr>
        <w:pStyle w:val="Default"/>
        <w:rPr/>
      </w:pPr>
      <w:r>
        <w:rPr/>
      </w:r>
    </w:p>
    <w:p>
      <w:pPr>
        <w:pStyle w:val="Default"/>
        <w:rPr/>
      </w:pPr>
      <w:r>
        <w:rPr/>
      </w:r>
    </w:p>
    <w:p>
      <w:pPr>
        <w:pStyle w:val="ListParagraph"/>
        <w:ind w:left="0" w:hanging="0"/>
        <w:rPr/>
      </w:pPr>
      <w:r>
        <w:rPr/>
      </w:r>
    </w:p>
    <w:tbl>
      <w:tblPr>
        <w:tblW w:w="8678" w:type="dxa"/>
        <w:jc w:val="left"/>
        <w:tblInd w:w="534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252"/>
        <w:gridCol w:w="1134"/>
        <w:gridCol w:w="1132"/>
        <w:gridCol w:w="994"/>
        <w:gridCol w:w="1166"/>
      </w:tblGrid>
      <w:tr>
        <w:trPr/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  <w:t>Veková kategória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  <w:t>Desiata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  <w:t>Obed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  <w:t>Olovrant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  <w:t>Spolu</w:t>
            </w:r>
          </w:p>
        </w:tc>
      </w:tr>
      <w:tr>
        <w:trPr/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5"/>
              </w:numPr>
              <w:ind w:left="175" w:hanging="175"/>
              <w:rPr/>
            </w:pPr>
            <w:r>
              <w:rPr/>
              <w:t>Materská škola - stravníci od 2 do 6 rokov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  <w:t>0,38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  <w:t>0,90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  <w:t>0,26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  <w:t>1,54</w:t>
            </w:r>
          </w:p>
        </w:tc>
      </w:tr>
      <w:tr>
        <w:trPr/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5"/>
              </w:numPr>
              <w:ind w:left="175" w:hanging="175"/>
              <w:rPr/>
            </w:pPr>
            <w:r>
              <w:rPr/>
              <w:t>Základná škola - stravníci od 6 do 11 rokov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  <w:t>1,21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  <w:t>1,21</w:t>
            </w:r>
          </w:p>
        </w:tc>
      </w:tr>
      <w:tr>
        <w:trPr/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5"/>
              </w:numPr>
              <w:ind w:left="175" w:hanging="175"/>
              <w:rPr/>
            </w:pPr>
            <w:r>
              <w:rPr/>
              <w:t>Základná škola - stravníci od 11 do 15 rokov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  <w:t>1,30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  <w:t>1,30</w:t>
            </w:r>
          </w:p>
        </w:tc>
      </w:tr>
      <w:tr>
        <w:trPr/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numPr>
                <w:ilvl w:val="0"/>
                <w:numId w:val="5"/>
              </w:numPr>
              <w:ind w:left="175" w:hanging="175"/>
              <w:rPr/>
            </w:pPr>
            <w:r>
              <w:rPr/>
              <w:t>Materská škola, základná škola - stravníci  zamestnanci a ostatné fyzické osoby (dospelé osoby)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</w:r>
          </w:p>
          <w:p>
            <w:pPr>
              <w:pStyle w:val="ListParagraph"/>
              <w:ind w:left="0" w:hanging="0"/>
              <w:jc w:val="center"/>
              <w:rPr/>
            </w:pPr>
            <w:r>
              <w:rPr/>
              <w:t>1,41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ind w:left="0" w:hanging="0"/>
              <w:jc w:val="center"/>
              <w:rPr/>
            </w:pPr>
            <w:r>
              <w:rPr/>
            </w:r>
          </w:p>
          <w:p>
            <w:pPr>
              <w:pStyle w:val="ListParagraph"/>
              <w:ind w:left="0" w:hanging="0"/>
              <w:jc w:val="center"/>
              <w:rPr/>
            </w:pPr>
            <w:r>
              <w:rPr/>
              <w:t>1,41</w:t>
            </w:r>
          </w:p>
        </w:tc>
      </w:tr>
    </w:tbl>
    <w:p>
      <w:pPr>
        <w:pStyle w:val="ListParagraph"/>
        <w:ind w:left="0" w:hanging="0"/>
        <w:rPr/>
      </w:pPr>
      <w:r>
        <w:rPr/>
      </w:r>
    </w:p>
    <w:p>
      <w:pPr>
        <w:pStyle w:val="ListParagraph"/>
        <w:ind w:left="0" w:hanging="0"/>
        <w:rPr/>
      </w:pPr>
      <w:r>
        <w:rPr/>
      </w:r>
    </w:p>
    <w:p>
      <w:pPr>
        <w:pStyle w:val="Default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Zákonný zástupca dieťaťa alebo žiaka uhrádza výšku finančného príspevku na stravovanie určenú týmto VZN podľa vekových kategórií stravníkov určenú v článku 2 ods. 2 v bodoch a) až c)  tohto VZN. Zamestnanci a ostatné fyzické osoby uhrádzajú výšku finančného príspevku na stravovanie určenú týmto VZN v čl. 2 ods. 1 bod d). </w:t>
      </w:r>
    </w:p>
    <w:p>
      <w:pPr>
        <w:pStyle w:val="Default"/>
        <w:ind w:left="360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numPr>
          <w:ilvl w:val="0"/>
          <w:numId w:val="4"/>
        </w:numPr>
        <w:ind w:left="336" w:hanging="360"/>
        <w:jc w:val="both"/>
        <w:rPr>
          <w:sz w:val="22"/>
          <w:szCs w:val="22"/>
        </w:rPr>
      </w:pPr>
      <w:r>
        <w:rPr/>
        <w:t xml:space="preserve">V </w:t>
      </w:r>
      <w:r>
        <w:rPr>
          <w:sz w:val="22"/>
          <w:szCs w:val="22"/>
        </w:rPr>
        <w:t xml:space="preserve">prípade, že bude zriaďovateľovi poskytnutá dotácia na podporu výchovy k stravovacím návykom dieťaťa podľa zákona č. 544/2010 Z. z. o dotáciách v pôsobnosti Ministerstva práce, sociálnych vecí a rodiny Slovenskej republiky v znení neskorších predpisov, zákonný zástupca dieťaťa alebo žiaka uhrádza finančný príspevok na stravovanie určený týmto VZN podľa vekových kategórií stravníkov určený v článku 2 ods. 2 v bodoch a) až c) tohto VZN </w:t>
      </w:r>
      <w:r>
        <w:rPr>
          <w:b/>
          <w:bCs/>
          <w:sz w:val="22"/>
          <w:szCs w:val="22"/>
        </w:rPr>
        <w:t xml:space="preserve">znížený o poskytnutú dotáciu. </w:t>
      </w:r>
    </w:p>
    <w:p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numPr>
          <w:ilvl w:val="0"/>
          <w:numId w:val="4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Obecný  úrad   prispieva  žiakom  MŠ  na  stravu  0,17 €.  Príspevok  nepatrí  žiakom, ktorým je            </w:t>
      </w:r>
    </w:p>
    <w:p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poskytnutá  dotácia  na  podporu  výchovy  k  stravovacím  návykom  dieťaťa  podľa  zákona  č.       </w:t>
      </w:r>
    </w:p>
    <w:p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>544/2010 Z. z. o dotáciách v pôsobnosti Ministerstva práce.</w:t>
      </w:r>
    </w:p>
    <w:p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Default"/>
        <w:numPr>
          <w:ilvl w:val="0"/>
          <w:numId w:val="4"/>
        </w:numPr>
        <w:ind w:left="336" w:hanging="360"/>
        <w:jc w:val="both"/>
        <w:rPr>
          <w:sz w:val="22"/>
          <w:szCs w:val="22"/>
        </w:rPr>
      </w:pPr>
      <w:r>
        <w:rPr>
          <w:rFonts w:cs="TimesNewRomanPSMT" w:ascii="TimesNewRomanPSMT" w:hAnsi="TimesNewRomanPSMT"/>
        </w:rPr>
        <w:t xml:space="preserve">Hodnota </w:t>
      </w:r>
      <w:r>
        <w:rPr/>
        <w:t>jedla</w:t>
      </w:r>
      <w:r>
        <w:rPr>
          <w:rFonts w:cs="TimesNewRomanPSMT" w:ascii="TimesNewRomanPSMT" w:hAnsi="TimesNewRomanPSMT"/>
        </w:rPr>
        <w:t xml:space="preserve"> pre dospelých stravníkov zahŕňa výšku finančného príspevku podľa zvoleného finančného pásma</w:t>
      </w:r>
      <w:r>
        <w:rPr>
          <w:rFonts w:cs="TimesNewRomanPSMT" w:ascii="TimesNewRomanPSMT" w:hAnsi="TimesNewRomanPSMT"/>
          <w:sz w:val="16"/>
          <w:szCs w:val="16"/>
        </w:rPr>
        <w:t xml:space="preserve"> </w:t>
      </w:r>
      <w:r>
        <w:rPr>
          <w:rFonts w:cs="TimesNewRomanPSMT" w:ascii="TimesNewRomanPSMT" w:hAnsi="TimesNewRomanPSMT"/>
        </w:rPr>
        <w:t>pre príslušné zariadenie školského stravovania  vo výške celkových nákladov na potraviny a režijných nákladov na výrobu jedného jedla ako pre vekovú kategóriu stravníkov 15-19 ročných.</w:t>
      </w:r>
    </w:p>
    <w:p>
      <w:pPr>
        <w:pStyle w:val="Default"/>
        <w:jc w:val="both"/>
        <w:rPr>
          <w:rFonts w:ascii="TimesNewRomanPSMT" w:hAnsi="TimesNewRomanPSMT" w:cs="TimesNewRomanPSMT"/>
        </w:rPr>
      </w:pPr>
      <w:r>
        <w:rPr>
          <w:rFonts w:cs="TimesNewRomanPSMT" w:ascii="TimesNewRomanPSMT" w:hAnsi="TimesNewRomanPSMT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Článok 3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 xml:space="preserve">Určenie podmienok úhrady v školskej jedálni 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Default"/>
        <w:numPr>
          <w:ilvl w:val="0"/>
          <w:numId w:val="6"/>
        </w:numPr>
        <w:jc w:val="both"/>
        <w:rPr/>
      </w:pPr>
      <w:r>
        <w:rPr>
          <w:color w:val="auto"/>
        </w:rPr>
        <w:t>Zákonný</w:t>
      </w:r>
      <w:r>
        <w:rPr>
          <w:bCs/>
          <w:color w:val="auto"/>
        </w:rPr>
        <w:t xml:space="preserve"> zástupca dieťaťa alebo žiaka, zamestnanci a ostatné fyzické osoby sú povinné uhradiť príspevok na stravovanie a </w:t>
      </w:r>
      <w:r>
        <w:rPr>
          <w:rFonts w:cs="TimesNewRomanPSMT" w:ascii="TimesNewRomanPSMT" w:hAnsi="TimesNewRomanPSMT"/>
          <w:color w:val="030303"/>
        </w:rPr>
        <w:t>príspevok</w:t>
      </w:r>
      <w:r>
        <w:rPr>
          <w:rFonts w:cs="TimesNewRomanPSMT" w:ascii="TimesNewRomanPSMT" w:hAnsi="TimesNewRomanPSMT"/>
        </w:rPr>
        <w:t xml:space="preserve"> na úhradu režijných nákladov</w:t>
      </w:r>
      <w:r>
        <w:rPr>
          <w:bCs/>
          <w:color w:val="auto"/>
        </w:rPr>
        <w:t xml:space="preserve"> na účet školských jedální a to mesačne vopred najneskôr do 25.</w:t>
      </w:r>
      <w:r>
        <w:rPr>
          <w:bCs/>
          <w:color w:val="FF0000"/>
        </w:rPr>
        <w:t xml:space="preserve"> </w:t>
      </w:r>
      <w:r>
        <w:rPr>
          <w:bCs/>
          <w:color w:val="auto"/>
        </w:rPr>
        <w:t>dňa predchádzajúceho kalendárneho mesiaca:</w:t>
      </w:r>
    </w:p>
    <w:p>
      <w:pPr>
        <w:pStyle w:val="Default"/>
        <w:ind w:left="360" w:hanging="0"/>
        <w:jc w:val="both"/>
        <w:rPr/>
      </w:pPr>
      <w:r>
        <w:rPr>
          <w:bCs/>
          <w:color w:val="auto"/>
        </w:rPr>
        <w:t>- v hotovosti do pokladne Školskej jedálne pri MŠ v Proči</w:t>
      </w:r>
    </w:p>
    <w:p>
      <w:pPr>
        <w:pStyle w:val="Default"/>
        <w:ind w:left="360" w:hanging="0"/>
        <w:jc w:val="both"/>
        <w:rPr/>
      </w:pPr>
      <w:r>
        <w:rPr>
          <w:bCs/>
          <w:color w:val="auto"/>
        </w:rPr>
        <w:t>- bankovým prevodom na účet IBAN SK  SK18 5600 0000 0088 7696 0002</w:t>
      </w:r>
    </w:p>
    <w:p>
      <w:pPr>
        <w:pStyle w:val="Default"/>
        <w:numPr>
          <w:ilvl w:val="0"/>
          <w:numId w:val="6"/>
        </w:numPr>
        <w:jc w:val="both"/>
        <w:rPr/>
      </w:pPr>
      <w:r>
        <w:rPr>
          <w:rFonts w:cs="TimesNewRomanPSMT" w:ascii="TimesNewRomanPSMT" w:hAnsi="TimesNewRomanPSMT"/>
        </w:rPr>
        <w:t>V prípade splnenia podmienok na poskytovanie dotácie podľa § 4 zákona č.544/2010 Z. z. o dotáciách v pôsobnosti MPSVaR SR zákonný zástupca uhrádza náklady na nákup potravín  jednorázovo na príslušné obdobie školského roku nasledovne:</w:t>
      </w:r>
    </w:p>
    <w:p>
      <w:pPr>
        <w:pStyle w:val="BodyText2"/>
        <w:ind w:left="567" w:hanging="141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sept</w:t>
      </w:r>
      <w:r>
        <w:rPr>
          <w:rFonts w:ascii="Times New Roman" w:hAnsi="Times New Roman"/>
          <w:sz w:val="24"/>
        </w:rPr>
        <w:t>e</w:t>
      </w:r>
      <w:r>
        <w:rPr>
          <w:rFonts w:ascii="Times New Roman" w:hAnsi="Times New Roman"/>
          <w:sz w:val="24"/>
          <w:szCs w:val="24"/>
        </w:rPr>
        <w:t>mber</w:t>
      </w:r>
      <w:r>
        <w:rPr>
          <w:rFonts w:cs="TimesNewRomanPSMT" w:ascii="TimesNewRomanPSMT" w:hAnsi="TimesNewRomanPSMT"/>
          <w:sz w:val="24"/>
          <w:szCs w:val="24"/>
        </w:rPr>
        <w:t xml:space="preserve"> až december vo výške 80 eur do 20. júna (novo nastupujúci žiaci do 15. septembra )</w:t>
      </w:r>
    </w:p>
    <w:p>
      <w:pPr>
        <w:pStyle w:val="BodyText2"/>
        <w:ind w:left="426" w:hanging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  <w:t>- január až jún vo výške 120 eur do 20. Decembra</w:t>
      </w:r>
    </w:p>
    <w:p>
      <w:pPr>
        <w:pStyle w:val="BodyText2"/>
        <w:ind w:left="426" w:hanging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BodyText2"/>
        <w:ind w:left="426" w:hanging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BodyText2"/>
        <w:ind w:left="426" w:hanging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BodyText2"/>
        <w:ind w:left="426" w:hanging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BodyText2"/>
        <w:ind w:left="426" w:hanging="0"/>
        <w:rPr>
          <w:rFonts w:ascii="TimesNewRomanPSMT" w:hAnsi="TimesNewRomanPSMT" w:cs="TimesNewRomanPSMT"/>
          <w:sz w:val="24"/>
          <w:szCs w:val="24"/>
        </w:rPr>
      </w:pPr>
      <w:r>
        <w:rPr>
          <w:rFonts w:cs="TimesNewRomanPSMT" w:ascii="TimesNewRomanPSMT" w:hAnsi="TimesNewRomanPSMT"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Článok 4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Záverečné ustanovenia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2"/>
        <w:numPr>
          <w:ilvl w:val="0"/>
          <w:numId w:val="3"/>
        </w:numPr>
        <w:tabs>
          <w:tab w:val="clear" w:pos="709"/>
          <w:tab w:val="left" w:pos="426" w:leader="none"/>
        </w:tabs>
        <w:ind w:left="426" w:hanging="426"/>
        <w:rPr/>
      </w:pPr>
      <w:r>
        <w:rPr>
          <w:rFonts w:ascii="Times New Roman" w:hAnsi="Times New Roman"/>
          <w:sz w:val="24"/>
          <w:szCs w:val="24"/>
        </w:rPr>
        <w:t>Ruší sa VZN č.   1/2019  zo dňa  1.9.2019</w:t>
      </w:r>
    </w:p>
    <w:p>
      <w:pPr>
        <w:pStyle w:val="BodyText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numPr>
          <w:ilvl w:val="0"/>
          <w:numId w:val="3"/>
        </w:numPr>
        <w:tabs>
          <w:tab w:val="clear" w:pos="709"/>
          <w:tab w:val="left" w:pos="426" w:leader="none"/>
        </w:tabs>
        <w:ind w:left="426" w:hanging="426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 xml:space="preserve">Návrh </w:t>
      </w:r>
      <w:r>
        <w:rPr>
          <w:rFonts w:ascii="Times New Roman" w:hAnsi="Times New Roman"/>
          <w:sz w:val="24"/>
        </w:rPr>
        <w:t xml:space="preserve">VZN bol </w:t>
      </w:r>
      <w:r>
        <w:rPr>
          <w:rFonts w:ascii="Times New Roman" w:hAnsi="Times New Roman"/>
          <w:sz w:val="24"/>
          <w:szCs w:val="24"/>
        </w:rPr>
        <w:t xml:space="preserve">zverejnený </w:t>
      </w:r>
    </w:p>
    <w:p>
      <w:pPr>
        <w:pStyle w:val="BodyText2"/>
        <w:ind w:left="426" w:hanging="0"/>
        <w:rPr/>
      </w:pPr>
      <w:r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</w:rPr>
        <w:t>na úradnej tabuli obce  dňa :   26.11.2021</w:t>
      </w:r>
      <w:bookmarkStart w:id="1" w:name="_Hlk492560253"/>
      <w:bookmarkEnd w:id="1"/>
    </w:p>
    <w:p>
      <w:pPr>
        <w:pStyle w:val="BodyText2"/>
        <w:ind w:left="426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sz w:val="24"/>
        </w:rPr>
        <w:t>zverejnený</w:t>
      </w:r>
      <w:r>
        <w:rPr>
          <w:rFonts w:ascii="Times New Roman" w:hAnsi="Times New Roman"/>
          <w:sz w:val="24"/>
          <w:szCs w:val="24"/>
        </w:rPr>
        <w:t xml:space="preserve"> na elektronickej úradnej tabuli obce dňa: </w:t>
      </w:r>
    </w:p>
    <w:p>
      <w:pPr>
        <w:pStyle w:val="BodyText2"/>
        <w:ind w:left="426" w:hanging="0"/>
        <w:rPr/>
      </w:pPr>
      <w:r>
        <w:rPr>
          <w:rFonts w:ascii="Times New Roman" w:hAnsi="Times New Roman"/>
          <w:sz w:val="24"/>
        </w:rPr>
        <w:t xml:space="preserve">- zverejnený na </w:t>
      </w:r>
      <w:r>
        <w:rPr>
          <w:rFonts w:ascii="Times New Roman" w:hAnsi="Times New Roman"/>
          <w:sz w:val="24"/>
          <w:szCs w:val="24"/>
        </w:rPr>
        <w:t>webovom sídle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obce dňa :   26.11.2021</w:t>
      </w:r>
    </w:p>
    <w:p>
      <w:pPr>
        <w:pStyle w:val="BodyText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numPr>
          <w:ilvl w:val="0"/>
          <w:numId w:val="3"/>
        </w:numPr>
        <w:tabs>
          <w:tab w:val="clear" w:pos="709"/>
          <w:tab w:val="left" w:pos="426" w:leader="none"/>
        </w:tabs>
        <w:ind w:left="426" w:hanging="426"/>
        <w:rPr/>
      </w:pPr>
      <w:r>
        <w:rPr>
          <w:rFonts w:ascii="Times New Roman" w:hAnsi="Times New Roman"/>
          <w:sz w:val="24"/>
        </w:rPr>
        <w:t xml:space="preserve">Lehota na predloženie </w:t>
      </w:r>
      <w:r>
        <w:rPr>
          <w:rFonts w:ascii="Times New Roman" w:hAnsi="Times New Roman"/>
          <w:b/>
          <w:sz w:val="24"/>
        </w:rPr>
        <w:t xml:space="preserve">pripomienok </w:t>
      </w:r>
      <w:r>
        <w:rPr>
          <w:rFonts w:ascii="Times New Roman" w:hAnsi="Times New Roman"/>
          <w:sz w:val="24"/>
        </w:rPr>
        <w:t>k návrhu VZN do (včítane): 07.12.2021</w:t>
      </w:r>
    </w:p>
    <w:p>
      <w:pPr>
        <w:pStyle w:val="BodyText2"/>
        <w:ind w:left="426"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Doručené pripomienky (počet) : ..............</w:t>
      </w:r>
    </w:p>
    <w:p>
      <w:pPr>
        <w:pStyle w:val="BodyText2"/>
        <w:ind w:left="426" w:hanging="0"/>
        <w:rPr/>
      </w:pPr>
      <w:r>
        <w:rPr>
          <w:rFonts w:ascii="Times New Roman" w:hAnsi="Times New Roman"/>
          <w:sz w:val="24"/>
        </w:rPr>
        <w:t>Vyhodnotenie pripomienok k návrhu VZN uskutočnené dňa  10.12.2021</w:t>
      </w:r>
    </w:p>
    <w:p>
      <w:pPr>
        <w:pStyle w:val="BodyText2"/>
        <w:ind w:left="426"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Vyhodnotenie pripomienok k návrhu VZN doručené poslancom dňa ............................</w:t>
      </w:r>
    </w:p>
    <w:p>
      <w:pPr>
        <w:pStyle w:val="BodyText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BodyText2"/>
        <w:numPr>
          <w:ilvl w:val="0"/>
          <w:numId w:val="3"/>
        </w:numPr>
        <w:tabs>
          <w:tab w:val="clear" w:pos="709"/>
          <w:tab w:val="left" w:pos="426" w:leader="none"/>
        </w:tabs>
        <w:ind w:left="426" w:hanging="426"/>
        <w:rPr/>
      </w:pPr>
      <w:r>
        <w:rPr>
          <w:rFonts w:ascii="Times New Roman" w:hAnsi="Times New Roman"/>
          <w:sz w:val="24"/>
          <w:szCs w:val="24"/>
        </w:rPr>
        <w:t xml:space="preserve">VZN </w:t>
      </w:r>
      <w:r>
        <w:rPr>
          <w:rFonts w:ascii="Times New Roman" w:hAnsi="Times New Roman"/>
          <w:b/>
          <w:sz w:val="24"/>
          <w:szCs w:val="24"/>
        </w:rPr>
        <w:t xml:space="preserve">schválené </w:t>
      </w:r>
      <w:r>
        <w:rPr>
          <w:rFonts w:ascii="Times New Roman" w:hAnsi="Times New Roman"/>
          <w:sz w:val="24"/>
          <w:szCs w:val="24"/>
        </w:rPr>
        <w:t>Obecným zastupiteľstvom v Proči dňa ............uznesením č. ..............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2"/>
        <w:numPr>
          <w:ilvl w:val="0"/>
          <w:numId w:val="3"/>
        </w:numPr>
        <w:tabs>
          <w:tab w:val="clear" w:pos="709"/>
          <w:tab w:val="left" w:pos="426" w:leader="none"/>
        </w:tabs>
        <w:ind w:left="426" w:hanging="42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VZN </w:t>
      </w:r>
      <w:r>
        <w:rPr>
          <w:rFonts w:ascii="Times New Roman" w:hAnsi="Times New Roman"/>
          <w:sz w:val="24"/>
          <w:szCs w:val="24"/>
        </w:rPr>
        <w:t>vyvesené</w:t>
      </w:r>
      <w:r>
        <w:rPr>
          <w:rFonts w:ascii="Times New Roman" w:hAnsi="Times New Roman"/>
          <w:sz w:val="24"/>
        </w:rPr>
        <w:t xml:space="preserve"> na úradnej tabuli obce  dňa : ...............................................................</w:t>
      </w:r>
    </w:p>
    <w:p>
      <w:pPr>
        <w:pStyle w:val="BodyText2"/>
        <w:ind w:left="426" w:hanging="0"/>
        <w:rPr>
          <w:rFonts w:ascii="Times New Roman" w:hAnsi="Times New Roman"/>
          <w:sz w:val="24"/>
        </w:rPr>
      </w:pPr>
      <w:bookmarkStart w:id="2" w:name="_Hlk492560630"/>
      <w:r>
        <w:rPr>
          <w:rFonts w:ascii="Times New Roman" w:hAnsi="Times New Roman"/>
          <w:sz w:val="24"/>
        </w:rPr>
        <w:t>VZN zvesené z úradnej tabule obce  dňa : .......................................</w:t>
      </w:r>
    </w:p>
    <w:p>
      <w:pPr>
        <w:pStyle w:val="BodyText2"/>
        <w:ind w:left="426"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szCs w:val="24"/>
        </w:rPr>
        <w:t xml:space="preserve">VZN </w:t>
      </w:r>
      <w:r>
        <w:rPr>
          <w:rFonts w:ascii="Times New Roman" w:hAnsi="Times New Roman"/>
          <w:sz w:val="24"/>
        </w:rPr>
        <w:t>zverejnené</w:t>
      </w:r>
      <w:r>
        <w:rPr>
          <w:rFonts w:ascii="Times New Roman" w:hAnsi="Times New Roman"/>
          <w:sz w:val="24"/>
          <w:szCs w:val="24"/>
        </w:rPr>
        <w:t xml:space="preserve"> na elektroni</w:t>
      </w:r>
      <w:r>
        <w:rPr>
          <w:rFonts w:ascii="Times New Roman" w:hAnsi="Times New Roman"/>
          <w:sz w:val="24"/>
        </w:rPr>
        <w:t>ckej úradnej tabuli obce</w:t>
      </w:r>
      <w:r>
        <w:rPr>
          <w:rFonts w:ascii="Times New Roman" w:hAnsi="Times New Roman"/>
          <w:sz w:val="24"/>
          <w:szCs w:val="24"/>
        </w:rPr>
        <w:t>:  od .................... do ..............</w:t>
      </w:r>
      <w:bookmarkEnd w:id="2"/>
    </w:p>
    <w:p>
      <w:pPr>
        <w:pStyle w:val="BodyText2"/>
        <w:ind w:left="426" w:hanging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VZN zverejnené na </w:t>
      </w:r>
      <w:r>
        <w:rPr>
          <w:rFonts w:ascii="Times New Roman" w:hAnsi="Times New Roman"/>
          <w:sz w:val="24"/>
          <w:szCs w:val="24"/>
        </w:rPr>
        <w:t>webovom sídle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</w:rPr>
        <w:t>obce dňa : ...................................................................</w:t>
      </w:r>
    </w:p>
    <w:p>
      <w:pPr>
        <w:pStyle w:val="Normal"/>
        <w:rPr>
          <w:i/>
          <w:i/>
          <w:sz w:val="24"/>
        </w:rPr>
      </w:pPr>
      <w:r>
        <w:rPr>
          <w:i/>
          <w:sz w:val="24"/>
        </w:rPr>
      </w:r>
    </w:p>
    <w:p>
      <w:pPr>
        <w:pStyle w:val="BodyText2"/>
        <w:numPr>
          <w:ilvl w:val="0"/>
          <w:numId w:val="3"/>
        </w:numPr>
        <w:tabs>
          <w:tab w:val="clear" w:pos="709"/>
          <w:tab w:val="left" w:pos="426" w:leader="none"/>
        </w:tabs>
        <w:ind w:left="426" w:hanging="426"/>
        <w:rPr/>
      </w:pPr>
      <w:r>
        <w:rPr>
          <w:rFonts w:ascii="Times New Roman" w:hAnsi="Times New Roman"/>
          <w:bCs/>
          <w:sz w:val="24"/>
          <w:szCs w:val="24"/>
        </w:rPr>
        <w:t xml:space="preserve">VZN </w:t>
      </w:r>
      <w:r>
        <w:rPr>
          <w:rFonts w:ascii="Times New Roman" w:hAnsi="Times New Roman"/>
          <w:b/>
          <w:bCs/>
          <w:sz w:val="24"/>
          <w:szCs w:val="24"/>
        </w:rPr>
        <w:t>nadobúda účinnosť</w:t>
      </w:r>
      <w:r>
        <w:rPr>
          <w:rFonts w:ascii="Times New Roman" w:hAnsi="Times New Roman"/>
          <w:bCs/>
          <w:sz w:val="24"/>
          <w:szCs w:val="24"/>
        </w:rPr>
        <w:t xml:space="preserve"> dňom 01.01.2022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5664" w:firstLine="708"/>
        <w:rPr/>
      </w:pP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t>Ján Pavuk</w:t>
      </w:r>
    </w:p>
    <w:p>
      <w:pPr>
        <w:pStyle w:val="Normal"/>
        <w:ind w:left="5664" w:firstLine="708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>starosta obce</w:t>
      </w:r>
      <w:bookmarkStart w:id="3" w:name="_Toc473427482"/>
      <w:bookmarkStart w:id="4" w:name="_Toc452958815"/>
      <w:bookmarkEnd w:id="3"/>
      <w:bookmarkEnd w:id="4"/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  <w:t>Príloha č. 1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w:t>Prehľad výšky príspevku na stravu</w:t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Style w:val="Mriekatabuky"/>
        <w:tblW w:w="92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668"/>
        <w:gridCol w:w="706"/>
        <w:gridCol w:w="850"/>
        <w:gridCol w:w="850"/>
        <w:gridCol w:w="851"/>
        <w:gridCol w:w="850"/>
        <w:gridCol w:w="850"/>
        <w:gridCol w:w="709"/>
        <w:gridCol w:w="898"/>
        <w:gridCol w:w="1055"/>
      </w:tblGrid>
      <w:tr>
        <w:trPr/>
        <w:tc>
          <w:tcPr>
            <w:tcW w:w="1668" w:type="dxa"/>
            <w:tcBorders/>
            <w:shd w:fill="auto" w:val="clear"/>
          </w:tcPr>
          <w:p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Veková skupina stravníkov</w:t>
            </w:r>
          </w:p>
        </w:tc>
        <w:tc>
          <w:tcPr>
            <w:tcW w:w="706" w:type="dxa"/>
            <w:tcBorders/>
            <w:shd w:fill="auto" w:val="clear"/>
          </w:tcPr>
          <w:p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Desiata v €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Obed v €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Olovra-nt v €</w:t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Nákup potra-vín v €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Čiastočné réžijné náklady v €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Stravný lístok celkom v €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Dotá-cia na stravu v €</w:t>
            </w:r>
          </w:p>
        </w:tc>
        <w:tc>
          <w:tcPr>
            <w:tcW w:w="898" w:type="dxa"/>
            <w:tcBorders/>
            <w:shd w:fill="auto" w:val="clear"/>
          </w:tcPr>
          <w:p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Príspe-vok obce v  €</w:t>
            </w:r>
          </w:p>
        </w:tc>
        <w:tc>
          <w:tcPr>
            <w:tcW w:w="1055" w:type="dxa"/>
            <w:tcBorders/>
            <w:shd w:fill="auto" w:val="clear"/>
          </w:tcPr>
          <w:p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Úhrada zákonné-ho zástupcu v  €</w:t>
            </w:r>
          </w:p>
        </w:tc>
      </w:tr>
      <w:tr>
        <w:trPr/>
        <w:tc>
          <w:tcPr>
            <w:tcW w:w="1668" w:type="dxa"/>
            <w:tcBorders/>
            <w:shd w:fill="auto" w:val="clear"/>
          </w:tcPr>
          <w:p>
            <w:pPr>
              <w:pStyle w:val="NoSpacing"/>
              <w:rPr/>
            </w:pPr>
            <w:r>
              <w:rPr/>
              <w:t>Stravník MŠ (2-5 rokov)</w:t>
            </w:r>
          </w:p>
        </w:tc>
        <w:tc>
          <w:tcPr>
            <w:tcW w:w="706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0,38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0,90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0,26</w:t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1,54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1,54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0,00</w:t>
            </w:r>
          </w:p>
        </w:tc>
        <w:tc>
          <w:tcPr>
            <w:tcW w:w="898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0,17</w:t>
            </w:r>
          </w:p>
        </w:tc>
        <w:tc>
          <w:tcPr>
            <w:tcW w:w="1055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1,37</w:t>
            </w:r>
          </w:p>
        </w:tc>
      </w:tr>
      <w:tr>
        <w:trPr/>
        <w:tc>
          <w:tcPr>
            <w:tcW w:w="1668" w:type="dxa"/>
            <w:tcBorders/>
            <w:shd w:fill="auto" w:val="clear"/>
          </w:tcPr>
          <w:p>
            <w:pPr>
              <w:pStyle w:val="NoSpacing"/>
              <w:rPr/>
            </w:pPr>
            <w:r>
              <w:rPr/>
              <w:t>Stravník MŠ (2-6 rokov) hmotná núdza</w:t>
            </w:r>
          </w:p>
        </w:tc>
        <w:tc>
          <w:tcPr>
            <w:tcW w:w="706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0,38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0,90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0,26</w:t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1,54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1,54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1,30</w:t>
            </w:r>
          </w:p>
        </w:tc>
        <w:tc>
          <w:tcPr>
            <w:tcW w:w="898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1055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0,24</w:t>
            </w:r>
          </w:p>
        </w:tc>
      </w:tr>
      <w:tr>
        <w:trPr/>
        <w:tc>
          <w:tcPr>
            <w:tcW w:w="1668" w:type="dxa"/>
            <w:tcBorders/>
            <w:shd w:fill="auto" w:val="clear"/>
          </w:tcPr>
          <w:p>
            <w:pPr>
              <w:pStyle w:val="NoSpacing"/>
              <w:rPr/>
            </w:pPr>
            <w:r>
              <w:rPr/>
              <w:t>Stravník MŠ (5-6 rokov) predškolák</w:t>
            </w:r>
          </w:p>
        </w:tc>
        <w:tc>
          <w:tcPr>
            <w:tcW w:w="706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0,38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0,90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0,26</w:t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1,54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1,54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1,30</w:t>
            </w:r>
          </w:p>
        </w:tc>
        <w:tc>
          <w:tcPr>
            <w:tcW w:w="898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1055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0,24</w:t>
            </w:r>
          </w:p>
        </w:tc>
      </w:tr>
      <w:tr>
        <w:trPr/>
        <w:tc>
          <w:tcPr>
            <w:tcW w:w="1668" w:type="dxa"/>
            <w:tcBorders/>
            <w:shd w:fill="auto" w:val="clear"/>
          </w:tcPr>
          <w:p>
            <w:pPr>
              <w:pStyle w:val="NoSpacing"/>
              <w:rPr/>
            </w:pPr>
            <w:r>
              <w:rPr/>
              <w:t>Stravník ZŠ  (6-11 rokov)</w:t>
            </w:r>
          </w:p>
        </w:tc>
        <w:tc>
          <w:tcPr>
            <w:tcW w:w="706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1,21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1,21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1,21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0,00</w:t>
            </w:r>
          </w:p>
        </w:tc>
        <w:tc>
          <w:tcPr>
            <w:tcW w:w="898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0,00</w:t>
            </w:r>
          </w:p>
        </w:tc>
        <w:tc>
          <w:tcPr>
            <w:tcW w:w="1055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1,21</w:t>
            </w:r>
          </w:p>
        </w:tc>
      </w:tr>
      <w:tr>
        <w:trPr/>
        <w:tc>
          <w:tcPr>
            <w:tcW w:w="1668" w:type="dxa"/>
            <w:tcBorders/>
            <w:shd w:fill="auto" w:val="clear"/>
          </w:tcPr>
          <w:p>
            <w:pPr>
              <w:pStyle w:val="NoSpacing"/>
              <w:rPr/>
            </w:pPr>
            <w:r>
              <w:rPr/>
              <w:t>Zamestnanci</w:t>
            </w:r>
          </w:p>
        </w:tc>
        <w:tc>
          <w:tcPr>
            <w:tcW w:w="706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1,41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1,41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1,41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0,00</w:t>
            </w:r>
          </w:p>
        </w:tc>
        <w:tc>
          <w:tcPr>
            <w:tcW w:w="898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0,00</w:t>
            </w:r>
          </w:p>
        </w:tc>
        <w:tc>
          <w:tcPr>
            <w:tcW w:w="1055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1,41</w:t>
            </w:r>
          </w:p>
        </w:tc>
      </w:tr>
      <w:tr>
        <w:trPr/>
        <w:tc>
          <w:tcPr>
            <w:tcW w:w="1668" w:type="dxa"/>
            <w:tcBorders/>
            <w:shd w:fill="auto" w:val="clear"/>
          </w:tcPr>
          <w:p>
            <w:pPr>
              <w:pStyle w:val="NoSpacing"/>
              <w:rPr/>
            </w:pPr>
            <w:r>
              <w:rPr/>
              <w:t>Dôchodcovia</w:t>
            </w:r>
          </w:p>
        </w:tc>
        <w:tc>
          <w:tcPr>
            <w:tcW w:w="706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1,41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1,41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0,86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2,27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0,00</w:t>
            </w:r>
          </w:p>
        </w:tc>
        <w:tc>
          <w:tcPr>
            <w:tcW w:w="898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0,00</w:t>
            </w:r>
          </w:p>
        </w:tc>
        <w:tc>
          <w:tcPr>
            <w:tcW w:w="1055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2,27</w:t>
            </w:r>
          </w:p>
        </w:tc>
      </w:tr>
      <w:tr>
        <w:trPr/>
        <w:tc>
          <w:tcPr>
            <w:tcW w:w="1668" w:type="dxa"/>
            <w:tcBorders/>
            <w:shd w:fill="auto" w:val="clear"/>
          </w:tcPr>
          <w:p>
            <w:pPr>
              <w:pStyle w:val="NoSpacing"/>
              <w:rPr/>
            </w:pPr>
            <w:r>
              <w:rPr/>
              <w:t>Cudzí</w:t>
            </w:r>
          </w:p>
          <w:p>
            <w:pPr>
              <w:pStyle w:val="NoSpacing"/>
              <w:rPr/>
            </w:pPr>
            <w:r>
              <w:rPr/>
              <w:t>stravníci</w:t>
            </w:r>
          </w:p>
        </w:tc>
        <w:tc>
          <w:tcPr>
            <w:tcW w:w="706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1,41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</w:r>
          </w:p>
        </w:tc>
        <w:tc>
          <w:tcPr>
            <w:tcW w:w="851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1,41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1,72</w:t>
            </w:r>
          </w:p>
        </w:tc>
        <w:tc>
          <w:tcPr>
            <w:tcW w:w="850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3,13</w:t>
            </w:r>
          </w:p>
        </w:tc>
        <w:tc>
          <w:tcPr>
            <w:tcW w:w="709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0,00</w:t>
            </w:r>
          </w:p>
        </w:tc>
        <w:tc>
          <w:tcPr>
            <w:tcW w:w="898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0,00</w:t>
            </w:r>
          </w:p>
        </w:tc>
        <w:tc>
          <w:tcPr>
            <w:tcW w:w="1055" w:type="dxa"/>
            <w:tcBorders/>
            <w:shd w:fill="auto" w:val="clear"/>
          </w:tcPr>
          <w:p>
            <w:pPr>
              <w:pStyle w:val="Default"/>
              <w:spacing w:lineRule="auto" w:line="360"/>
              <w:jc w:val="center"/>
              <w:rPr/>
            </w:pPr>
            <w:r>
              <w:rPr/>
              <w:t>3,13</w:t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right"/>
        <w:rPr/>
      </w:pPr>
      <w:r>
        <w:rPr/>
      </w:r>
    </w:p>
    <w:sectPr>
      <w:type w:val="nextPage"/>
      <w:pgSz w:w="11906" w:h="16838"/>
      <w:pgMar w:left="1417" w:right="1417" w:header="720" w:top="719" w:footer="720" w:bottom="1417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Segoe UI">
    <w:charset w:val="ee"/>
    <w:family w:val="roman"/>
    <w:pitch w:val="variable"/>
  </w:font>
  <w:font w:name="TimesNewRomanPSMT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Nadpis1"/>
      <w:numFmt w:val="decimal"/>
      <w:lvlText w:val="%1."/>
      <w:lvlJc w:val="left"/>
      <w:pPr>
        <w:ind w:left="851" w:hanging="851"/>
      </w:pPr>
    </w:lvl>
    <w:lvl w:ilvl="1">
      <w:start w:val="1"/>
      <w:pStyle w:val="Nadpis2"/>
      <w:numFmt w:val="upperLetter"/>
      <w:lvlText w:val="%2."/>
      <w:lvlJc w:val="left"/>
      <w:pPr>
        <w:ind w:left="1559" w:hanging="708"/>
      </w:pPr>
    </w:lvl>
    <w:lvl w:ilvl="2">
      <w:start w:val="1"/>
      <w:pStyle w:val="Nadpis3"/>
      <w:numFmt w:val="decimal"/>
      <w:lvlText w:val="%3."/>
      <w:lvlJc w:val="left"/>
      <w:pPr>
        <w:ind w:left="2267" w:hanging="708"/>
      </w:pPr>
    </w:lvl>
    <w:lvl w:ilvl="3">
      <w:start w:val="1"/>
      <w:pStyle w:val="Nadpis4"/>
      <w:numFmt w:val="lowerLetter"/>
      <w:lvlText w:val="%4)"/>
      <w:lvlJc w:val="left"/>
      <w:pPr>
        <w:ind w:left="2975" w:hanging="708"/>
      </w:pPr>
    </w:lvl>
    <w:lvl w:ilvl="4">
      <w:start w:val="1"/>
      <w:pStyle w:val="Nadpis5"/>
      <w:numFmt w:val="decimal"/>
      <w:lvlText w:val="(%5)"/>
      <w:lvlJc w:val="left"/>
      <w:pPr>
        <w:ind w:left="3683" w:hanging="708"/>
      </w:pPr>
    </w:lvl>
    <w:lvl w:ilvl="5">
      <w:start w:val="1"/>
      <w:pStyle w:val="Nadpis6"/>
      <w:numFmt w:val="lowerLetter"/>
      <w:lvlText w:val="(%6)"/>
      <w:lvlJc w:val="left"/>
      <w:pPr>
        <w:ind w:left="4391" w:hanging="708"/>
      </w:pPr>
    </w:lvl>
    <w:lvl w:ilvl="6">
      <w:start w:val="1"/>
      <w:pStyle w:val="Nadpis7"/>
      <w:numFmt w:val="lowerRoman"/>
      <w:lvlText w:val="(%7)"/>
      <w:lvlJc w:val="left"/>
      <w:pPr>
        <w:ind w:left="5099" w:hanging="708"/>
      </w:pPr>
    </w:lvl>
    <w:lvl w:ilvl="7">
      <w:start w:val="1"/>
      <w:pStyle w:val="Nadpis8"/>
      <w:numFmt w:val="lowerLetter"/>
      <w:lvlText w:val="(%8)"/>
      <w:lvlJc w:val="left"/>
      <w:pPr>
        <w:ind w:left="5807" w:hanging="708"/>
      </w:pPr>
    </w:lvl>
    <w:lvl w:ilvl="8">
      <w:start w:val="1"/>
      <w:pStyle w:val="Nadpis9"/>
      <w:numFmt w:val="lowerRoman"/>
      <w:lvlText w:val="(%9)"/>
      <w:lvlJc w:val="left"/>
      <w:pPr>
        <w:ind w:left="6515" w:hanging="708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4"/>
        <w:rFonts w:ascii="TimesNewRomanPSMT" w:hAnsi="TimesNewRomanPSMT"/>
        <w:color w:val="auto"/>
      </w:rPr>
    </w:lvl>
    <w:lvl w:ilvl="1">
      <w:start w:val="3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2"/>
        <w:color w:val="auto"/>
      </w:rPr>
    </w:lvl>
    <w:lvl w:ilvl="1">
      <w:start w:val="3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3"/>
      <w:numFmt w:val="bullet"/>
      <w:lvlText w:val="-"/>
      <w:lvlJc w:val="left"/>
      <w:pPr>
        <w:tabs>
          <w:tab w:val="num" w:pos="2148"/>
        </w:tabs>
        <w:ind w:left="2148" w:hanging="360"/>
      </w:pPr>
      <w:rPr>
        <w:rFonts w:ascii="Times New Roman" w:hAnsi="Times New Roman" w:cs="Times New Roman" w:hint="default"/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33"/>
  <w:defaultTabStop w:val="709"/>
  <w:compat/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sk-SK" w:eastAsia="sk-SK" w:bidi="ar-SA"/>
      </w:rPr>
    </w:rPrDefault>
    <w:pPrDefault>
      <w:pPr/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99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106177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sk-SK" w:eastAsia="sk-SK" w:bidi="ar-SA"/>
    </w:rPr>
  </w:style>
  <w:style w:type="paragraph" w:styleId="Nadpis1">
    <w:name w:val="Heading 1"/>
    <w:basedOn w:val="Normal"/>
    <w:next w:val="Normal"/>
    <w:qFormat/>
    <w:rsid w:val="00106177"/>
    <w:pPr>
      <w:keepNext w:val="true"/>
      <w:numPr>
        <w:ilvl w:val="0"/>
        <w:numId w:val="1"/>
      </w:numPr>
      <w:spacing w:before="240" w:after="60"/>
      <w:jc w:val="both"/>
      <w:outlineLvl w:val="0"/>
    </w:pPr>
    <w:rPr>
      <w:rFonts w:ascii="Arial" w:hAnsi="Arial"/>
      <w:b/>
      <w:i/>
      <w:kern w:val="2"/>
      <w:sz w:val="28"/>
    </w:rPr>
  </w:style>
  <w:style w:type="paragraph" w:styleId="Nadpis2">
    <w:name w:val="Heading 2"/>
    <w:basedOn w:val="Normal"/>
    <w:next w:val="Normal"/>
    <w:qFormat/>
    <w:rsid w:val="00106177"/>
    <w:pPr>
      <w:keepNext w:val="true"/>
      <w:numPr>
        <w:ilvl w:val="1"/>
        <w:numId w:val="1"/>
      </w:numPr>
      <w:spacing w:before="240" w:after="60"/>
      <w:jc w:val="both"/>
      <w:outlineLvl w:val="1"/>
    </w:pPr>
    <w:rPr>
      <w:rFonts w:ascii="Arial" w:hAnsi="Arial"/>
      <w:b/>
      <w:i/>
      <w:sz w:val="24"/>
    </w:rPr>
  </w:style>
  <w:style w:type="paragraph" w:styleId="Nadpis3">
    <w:name w:val="Heading 3"/>
    <w:basedOn w:val="Normal"/>
    <w:next w:val="Normal"/>
    <w:qFormat/>
    <w:rsid w:val="00106177"/>
    <w:pPr>
      <w:keepNext w:val="true"/>
      <w:numPr>
        <w:ilvl w:val="2"/>
        <w:numId w:val="1"/>
      </w:numPr>
      <w:spacing w:before="240" w:after="60"/>
      <w:jc w:val="both"/>
      <w:outlineLvl w:val="2"/>
    </w:pPr>
    <w:rPr>
      <w:b/>
      <w:sz w:val="24"/>
    </w:rPr>
  </w:style>
  <w:style w:type="paragraph" w:styleId="Nadpis4">
    <w:name w:val="Heading 4"/>
    <w:basedOn w:val="Normal"/>
    <w:next w:val="Normal"/>
    <w:qFormat/>
    <w:rsid w:val="00106177"/>
    <w:pPr>
      <w:keepNext w:val="true"/>
      <w:numPr>
        <w:ilvl w:val="3"/>
        <w:numId w:val="1"/>
      </w:numPr>
      <w:spacing w:before="240" w:after="60"/>
      <w:jc w:val="both"/>
      <w:outlineLvl w:val="3"/>
    </w:pPr>
    <w:rPr>
      <w:b/>
      <w:i/>
      <w:sz w:val="24"/>
    </w:rPr>
  </w:style>
  <w:style w:type="paragraph" w:styleId="Nadpis5">
    <w:name w:val="Heading 5"/>
    <w:basedOn w:val="Normal"/>
    <w:next w:val="Normal"/>
    <w:qFormat/>
    <w:rsid w:val="00106177"/>
    <w:pPr>
      <w:numPr>
        <w:ilvl w:val="4"/>
        <w:numId w:val="1"/>
      </w:numPr>
      <w:spacing w:before="240" w:after="60"/>
      <w:jc w:val="both"/>
      <w:outlineLvl w:val="4"/>
    </w:pPr>
    <w:rPr>
      <w:rFonts w:ascii="Arial" w:hAnsi="Arial"/>
      <w:sz w:val="22"/>
    </w:rPr>
  </w:style>
  <w:style w:type="paragraph" w:styleId="Nadpis6">
    <w:name w:val="Heading 6"/>
    <w:basedOn w:val="Normal"/>
    <w:next w:val="Normal"/>
    <w:qFormat/>
    <w:rsid w:val="00106177"/>
    <w:pPr>
      <w:numPr>
        <w:ilvl w:val="5"/>
        <w:numId w:val="1"/>
      </w:numPr>
      <w:spacing w:before="240" w:after="60"/>
      <w:jc w:val="both"/>
      <w:outlineLvl w:val="5"/>
    </w:pPr>
    <w:rPr>
      <w:rFonts w:ascii="Arial" w:hAnsi="Arial"/>
      <w:i/>
      <w:sz w:val="22"/>
    </w:rPr>
  </w:style>
  <w:style w:type="paragraph" w:styleId="Nadpis7">
    <w:name w:val="Heading 7"/>
    <w:basedOn w:val="Normal"/>
    <w:next w:val="Normal"/>
    <w:qFormat/>
    <w:rsid w:val="00106177"/>
    <w:pPr>
      <w:numPr>
        <w:ilvl w:val="6"/>
        <w:numId w:val="1"/>
      </w:numPr>
      <w:spacing w:before="240" w:after="60"/>
      <w:jc w:val="both"/>
      <w:outlineLvl w:val="6"/>
    </w:pPr>
    <w:rPr>
      <w:rFonts w:ascii="Arial" w:hAnsi="Arial"/>
      <w:sz w:val="24"/>
    </w:rPr>
  </w:style>
  <w:style w:type="paragraph" w:styleId="Nadpis8">
    <w:name w:val="Heading 8"/>
    <w:basedOn w:val="Normal"/>
    <w:next w:val="Normal"/>
    <w:qFormat/>
    <w:rsid w:val="00106177"/>
    <w:pPr>
      <w:numPr>
        <w:ilvl w:val="7"/>
        <w:numId w:val="1"/>
      </w:numPr>
      <w:spacing w:before="240" w:after="60"/>
      <w:jc w:val="both"/>
      <w:outlineLvl w:val="7"/>
    </w:pPr>
    <w:rPr>
      <w:rFonts w:ascii="Arial" w:hAnsi="Arial"/>
      <w:i/>
      <w:sz w:val="24"/>
    </w:rPr>
  </w:style>
  <w:style w:type="paragraph" w:styleId="Nadpis9">
    <w:name w:val="Heading 9"/>
    <w:basedOn w:val="Normal"/>
    <w:next w:val="Normal"/>
    <w:qFormat/>
    <w:rsid w:val="00106177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i/>
      <w:sz w:val="1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kladntext2Char" w:customStyle="1">
    <w:name w:val="Základný text 2 Char"/>
    <w:link w:val="Zkladntext2"/>
    <w:qFormat/>
    <w:rsid w:val="00106177"/>
    <w:rPr>
      <w:rFonts w:ascii="Arial" w:hAnsi="Arial"/>
      <w:sz w:val="22"/>
      <w:lang w:val="sk-SK" w:eastAsia="sk-SK" w:bidi="ar-SA"/>
    </w:rPr>
  </w:style>
  <w:style w:type="character" w:styleId="TextbublinyChar" w:customStyle="1">
    <w:name w:val="Text bubliny Char"/>
    <w:link w:val="Textbubliny"/>
    <w:qFormat/>
    <w:rsid w:val="00036f25"/>
    <w:rPr>
      <w:rFonts w:ascii="Segoe UI" w:hAnsi="Segoe UI" w:cs="Segoe UI"/>
      <w:sz w:val="18"/>
      <w:szCs w:val="18"/>
    </w:rPr>
  </w:style>
  <w:style w:type="character" w:styleId="ListLabel1">
    <w:name w:val="ListLabel 1"/>
    <w:qFormat/>
    <w:rPr>
      <w:rFonts w:ascii="TimesNewRomanPSMT" w:hAnsi="TimesNewRomanPSMT"/>
      <w:color w:val="auto"/>
      <w:sz w:val="24"/>
    </w:rPr>
  </w:style>
  <w:style w:type="character" w:styleId="ListLabel2">
    <w:name w:val="ListLabel 2"/>
    <w:qFormat/>
    <w:rPr>
      <w:rFonts w:eastAsia="Times New Roman" w:cs="Times New Roman"/>
    </w:rPr>
  </w:style>
  <w:style w:type="character" w:styleId="ListLabel3">
    <w:name w:val="ListLabel 3"/>
    <w:qFormat/>
    <w:rPr>
      <w:rFonts w:eastAsia="Times New Roman" w:cs="Times New Roman"/>
      <w:b w:val="false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eastAsia="Times New Roman" w:cs="Times New Roman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eastAsia="Times New Roman" w:cs="Times New Roman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eastAsia="Times New Roman"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eastAsia="Times New Roman" w:cs="Times New Roman"/>
    </w:rPr>
  </w:style>
  <w:style w:type="character" w:styleId="ListLabel18">
    <w:name w:val="ListLabel 18"/>
    <w:qFormat/>
    <w:rPr>
      <w:rFonts w:eastAsia="Times New Roman" w:cs="Times New Roman"/>
    </w:rPr>
  </w:style>
  <w:style w:type="character" w:styleId="ListLabel19">
    <w:name w:val="ListLabel 19"/>
    <w:qFormat/>
    <w:rPr>
      <w:sz w:val="24"/>
    </w:rPr>
  </w:style>
  <w:style w:type="character" w:styleId="ListLabel20">
    <w:name w:val="ListLabel 20"/>
    <w:qFormat/>
    <w:rPr>
      <w:sz w:val="24"/>
    </w:rPr>
  </w:style>
  <w:style w:type="character" w:styleId="ListLabel21">
    <w:name w:val="ListLabel 21"/>
    <w:qFormat/>
    <w:rPr>
      <w:sz w:val="24"/>
    </w:rPr>
  </w:style>
  <w:style w:type="character" w:styleId="ListLabel22">
    <w:name w:val="ListLabel 22"/>
    <w:qFormat/>
    <w:rPr>
      <w:sz w:val="24"/>
    </w:rPr>
  </w:style>
  <w:style w:type="character" w:styleId="ListLabel23">
    <w:name w:val="ListLabel 23"/>
    <w:qFormat/>
    <w:rPr>
      <w:sz w:val="24"/>
    </w:rPr>
  </w:style>
  <w:style w:type="character" w:styleId="ListLabel24">
    <w:name w:val="ListLabel 24"/>
    <w:qFormat/>
    <w:rPr>
      <w:sz w:val="24"/>
    </w:rPr>
  </w:style>
  <w:style w:type="character" w:styleId="ListLabel25">
    <w:name w:val="ListLabel 25"/>
    <w:qFormat/>
    <w:rPr>
      <w:sz w:val="24"/>
    </w:rPr>
  </w:style>
  <w:style w:type="character" w:styleId="ListLabel26">
    <w:name w:val="ListLabel 26"/>
    <w:qFormat/>
    <w:rPr>
      <w:sz w:val="24"/>
    </w:rPr>
  </w:style>
  <w:style w:type="character" w:styleId="ListLabel27">
    <w:name w:val="ListLabel 27"/>
    <w:qFormat/>
    <w:rPr>
      <w:sz w:val="24"/>
    </w:rPr>
  </w:style>
  <w:style w:type="character" w:styleId="ListLabel28">
    <w:name w:val="ListLabel 28"/>
    <w:qFormat/>
    <w:rPr>
      <w:rFonts w:cs="Times New Roman"/>
    </w:rPr>
  </w:style>
  <w:style w:type="character" w:styleId="ListLabel29">
    <w:name w:val="ListLabel 29"/>
    <w:qFormat/>
    <w:rPr>
      <w:rFonts w:eastAsia="Times New Roman" w:cs="Times New Roman"/>
    </w:rPr>
  </w:style>
  <w:style w:type="character" w:styleId="ListLabel30">
    <w:name w:val="ListLabel 30"/>
    <w:qFormat/>
    <w:rPr>
      <w:rFonts w:eastAsia="Times New Roman" w:cs="Times New Roman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ascii="TimesNewRomanPSMT" w:hAnsi="TimesNewRomanPSMT"/>
      <w:color w:val="auto"/>
      <w:sz w:val="22"/>
    </w:rPr>
  </w:style>
  <w:style w:type="character" w:styleId="ListLabel35">
    <w:name w:val="ListLabel 35"/>
    <w:qFormat/>
    <w:rPr>
      <w:rFonts w:eastAsia="Times New Roman" w:cs="Times New Roman"/>
    </w:rPr>
  </w:style>
  <w:style w:type="character" w:styleId="ListLabel36">
    <w:name w:val="ListLabel 36"/>
    <w:qFormat/>
    <w:rPr>
      <w:rFonts w:ascii="TimesNewRomanPSMT" w:hAnsi="TimesNewRomanPSMT"/>
      <w:b/>
      <w:color w:val="auto"/>
    </w:rPr>
  </w:style>
  <w:style w:type="character" w:styleId="ListLabel37">
    <w:name w:val="ListLabel 37"/>
    <w:qFormat/>
    <w:rPr>
      <w:rFonts w:eastAsia="Times New Roman" w:cs="Times New Roman"/>
    </w:rPr>
  </w:style>
  <w:style w:type="character" w:styleId="ListLabel38">
    <w:name w:val="ListLabel 38"/>
    <w:qFormat/>
    <w:rPr>
      <w:rFonts w:ascii="TimesNewRomanPSMT" w:hAnsi="TimesNewRomanPSMT"/>
      <w:color w:val="auto"/>
      <w:sz w:val="24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color w:val="auto"/>
      <w:sz w:val="22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b/>
      <w:color w:val="auto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ascii="TimesNewRomanPSMT" w:hAnsi="TimesNewRomanPSMT"/>
      <w:color w:val="auto"/>
      <w:sz w:val="24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color w:val="auto"/>
      <w:sz w:val="22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b/>
      <w:color w:val="auto"/>
    </w:rPr>
  </w:style>
  <w:style w:type="character" w:styleId="ListLabel49">
    <w:name w:val="ListLabel 49"/>
    <w:qFormat/>
    <w:rPr>
      <w:rFonts w:cs="Times New Roman"/>
    </w:rPr>
  </w:style>
  <w:style w:type="paragraph" w:styleId="Nadpis">
    <w:name w:val="Nadpis"/>
    <w:basedOn w:val="Normal"/>
    <w:next w:val="Telotex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lotextu">
    <w:name w:val="Body Text"/>
    <w:basedOn w:val="Normal"/>
    <w:rsid w:val="00106177"/>
    <w:pPr>
      <w:jc w:val="center"/>
    </w:pPr>
    <w:rPr>
      <w:rFonts w:ascii="Arial" w:hAnsi="Arial"/>
      <w:b/>
      <w:sz w:val="22"/>
    </w:rPr>
  </w:style>
  <w:style w:type="paragraph" w:styleId="Zoznam">
    <w:name w:val="List"/>
    <w:basedOn w:val="Telotextu"/>
    <w:pPr/>
    <w:rPr>
      <w:rFonts w:cs="Arial"/>
    </w:rPr>
  </w:style>
  <w:style w:type="paragraph" w:styleId="Po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odyText2">
    <w:name w:val="Body Text 2"/>
    <w:basedOn w:val="Normal"/>
    <w:link w:val="Zkladntext2Char"/>
    <w:qFormat/>
    <w:rsid w:val="00106177"/>
    <w:pPr>
      <w:jc w:val="both"/>
    </w:pPr>
    <w:rPr>
      <w:rFonts w:ascii="Arial" w:hAnsi="Arial"/>
      <w:sz w:val="22"/>
    </w:rPr>
  </w:style>
  <w:style w:type="paragraph" w:styleId="BodyText3">
    <w:name w:val="Body Text 3"/>
    <w:basedOn w:val="Normal"/>
    <w:qFormat/>
    <w:rsid w:val="00106177"/>
    <w:pPr>
      <w:jc w:val="center"/>
    </w:pPr>
    <w:rPr>
      <w:rFonts w:ascii="Arial" w:hAnsi="Arial"/>
      <w:sz w:val="22"/>
    </w:rPr>
  </w:style>
  <w:style w:type="paragraph" w:styleId="Szveg" w:customStyle="1">
    <w:name w:val="Szöveg"/>
    <w:basedOn w:val="Normal"/>
    <w:next w:val="Normal"/>
    <w:qFormat/>
    <w:rsid w:val="00106177"/>
    <w:pPr>
      <w:spacing w:lineRule="atLeast" w:line="240"/>
      <w:jc w:val="both"/>
    </w:pPr>
    <w:rPr>
      <w:rFonts w:ascii="Arial" w:hAnsi="Arial"/>
    </w:rPr>
  </w:style>
  <w:style w:type="paragraph" w:styleId="Odsadenietelatextu">
    <w:name w:val="Body Text Indent"/>
    <w:basedOn w:val="Normal"/>
    <w:rsid w:val="00106177"/>
    <w:pPr>
      <w:ind w:firstLine="708"/>
      <w:jc w:val="both"/>
    </w:pPr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743b81"/>
    <w:pPr>
      <w:ind w:left="708" w:hanging="0"/>
    </w:pPr>
    <w:rPr/>
  </w:style>
  <w:style w:type="paragraph" w:styleId="BalloonText">
    <w:name w:val="Balloon Text"/>
    <w:basedOn w:val="Normal"/>
    <w:link w:val="TextbublinyChar"/>
    <w:qFormat/>
    <w:rsid w:val="00036f25"/>
    <w:pPr/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63710c"/>
    <w:pPr>
      <w:widowControl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sk-SK" w:eastAsia="sk-SK" w:bidi="ar-SA"/>
    </w:rPr>
  </w:style>
  <w:style w:type="paragraph" w:styleId="NoSpacing">
    <w:name w:val="No Spacing"/>
    <w:uiPriority w:val="1"/>
    <w:qFormat/>
    <w:rsid w:val="008c20ef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sk-SK" w:eastAsia="sk-SK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Mriekatabuky">
    <w:name w:val="Table Grid"/>
    <w:basedOn w:val="Normlnatabuka"/>
    <w:uiPriority w:val="99"/>
    <w:rsid w:val="00a85080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Application>LibreOffice/6.2.0.3$Windows_X86_64 LibreOffice_project/98c6a8a1c6c7b144ce3cc729e34964b47ce25d62</Application>
  <Pages>6</Pages>
  <Words>1172</Words>
  <Characters>6578</Characters>
  <CharactersWithSpaces>7854</CharactersWithSpaces>
  <Paragraphs>156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2021-11-18T13:44:00Z</dcterms:created>
  <dc:creator>Terka</dc:creator>
  <dc:description/>
  <dc:language>sk-SK</dc:language>
  <cp:lastModifiedBy/>
  <cp:lastPrinted>2021-11-26T10:47:46Z</cp:lastPrinted>
  <dcterms:modified xsi:type="dcterms:W3CDTF">2021-11-26T10:57:35Z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