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8C40" w14:textId="77777777" w:rsidR="00EA0A68" w:rsidRPr="00EA0A68" w:rsidRDefault="00EA0A68" w:rsidP="00EA0A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0A68">
        <w:rPr>
          <w:rFonts w:ascii="Times New Roman" w:hAnsi="Times New Roman" w:cs="Times New Roman"/>
          <w:b/>
          <w:sz w:val="40"/>
          <w:szCs w:val="40"/>
        </w:rPr>
        <w:t xml:space="preserve">Obec </w:t>
      </w:r>
      <w:r w:rsidR="00AC408C">
        <w:rPr>
          <w:rFonts w:ascii="Times New Roman" w:hAnsi="Times New Roman" w:cs="Times New Roman"/>
          <w:b/>
          <w:sz w:val="40"/>
          <w:szCs w:val="40"/>
        </w:rPr>
        <w:t>Dúbrava</w:t>
      </w:r>
    </w:p>
    <w:p w14:paraId="5CA43FFA" w14:textId="77777777" w:rsidR="00EA0A68" w:rsidRPr="00EA0A68" w:rsidRDefault="00EA0A68" w:rsidP="00EA0A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A68">
        <w:rPr>
          <w:rFonts w:ascii="Times New Roman" w:hAnsi="Times New Roman" w:cs="Times New Roman"/>
          <w:b/>
          <w:sz w:val="28"/>
          <w:szCs w:val="28"/>
        </w:rPr>
        <w:t xml:space="preserve">Hlavná kontrolórka obce </w:t>
      </w:r>
      <w:r w:rsidR="00AC408C">
        <w:rPr>
          <w:rFonts w:ascii="Times New Roman" w:hAnsi="Times New Roman" w:cs="Times New Roman"/>
          <w:b/>
          <w:sz w:val="28"/>
          <w:szCs w:val="28"/>
        </w:rPr>
        <w:t>Dúbrava</w:t>
      </w:r>
    </w:p>
    <w:p w14:paraId="243733A9" w14:textId="56D1CAA6" w:rsidR="00EA0A68" w:rsidRPr="00EA0A68" w:rsidRDefault="00EA0A68" w:rsidP="00EA0A68">
      <w:pPr>
        <w:jc w:val="center"/>
        <w:rPr>
          <w:rFonts w:ascii="Times New Roman" w:hAnsi="Times New Roman" w:cs="Times New Roman"/>
          <w:b/>
        </w:rPr>
      </w:pPr>
      <w:r w:rsidRPr="00EA0A68">
        <w:rPr>
          <w:rFonts w:ascii="Times New Roman" w:hAnsi="Times New Roman" w:cs="Times New Roman"/>
          <w:b/>
        </w:rPr>
        <w:t xml:space="preserve">Odborné stanovisko HK k záverečnému účtu obce </w:t>
      </w:r>
      <w:r w:rsidR="00AC408C">
        <w:rPr>
          <w:rFonts w:ascii="Times New Roman" w:hAnsi="Times New Roman" w:cs="Times New Roman"/>
          <w:b/>
        </w:rPr>
        <w:t>Dúbrava</w:t>
      </w:r>
      <w:r w:rsidRPr="00EA0A68">
        <w:rPr>
          <w:rFonts w:ascii="Times New Roman" w:hAnsi="Times New Roman" w:cs="Times New Roman"/>
          <w:b/>
        </w:rPr>
        <w:t xml:space="preserve"> za rok 20</w:t>
      </w:r>
      <w:r w:rsidR="004B2040">
        <w:rPr>
          <w:rFonts w:ascii="Times New Roman" w:hAnsi="Times New Roman" w:cs="Times New Roman"/>
          <w:b/>
        </w:rPr>
        <w:t>2</w:t>
      </w:r>
      <w:r w:rsidR="00577E64">
        <w:rPr>
          <w:rFonts w:ascii="Times New Roman" w:hAnsi="Times New Roman" w:cs="Times New Roman"/>
          <w:b/>
        </w:rPr>
        <w:t>4</w:t>
      </w:r>
    </w:p>
    <w:p w14:paraId="74C5AC10" w14:textId="55985977" w:rsidR="00EA0A68" w:rsidRPr="00EA0A68" w:rsidRDefault="00EA0A68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 w:rsidRPr="00EA0A68">
        <w:rPr>
          <w:rFonts w:ascii="Times New Roman" w:hAnsi="Times New Roman" w:cs="Times New Roman"/>
          <w:sz w:val="24"/>
          <w:szCs w:val="24"/>
        </w:rPr>
        <w:t xml:space="preserve">     V súlade so zákonom č. 369/1990 Zb. o obecnom zriadení v platnom znení, § </w:t>
      </w:r>
      <w:smartTag w:uri="urn:schemas-microsoft-com:office:smarttags" w:element="metricconverter">
        <w:smartTagPr>
          <w:attr w:name="ProductID" w:val="18f"/>
        </w:smartTagPr>
        <w:r w:rsidRPr="00EA0A68">
          <w:rPr>
            <w:rFonts w:ascii="Times New Roman" w:hAnsi="Times New Roman" w:cs="Times New Roman"/>
            <w:sz w:val="24"/>
            <w:szCs w:val="24"/>
          </w:rPr>
          <w:t>18f</w:t>
        </w:r>
      </w:smartTag>
      <w:r w:rsidRPr="00EA0A68">
        <w:rPr>
          <w:rFonts w:ascii="Times New Roman" w:hAnsi="Times New Roman" w:cs="Times New Roman"/>
          <w:sz w:val="24"/>
          <w:szCs w:val="24"/>
        </w:rPr>
        <w:t xml:space="preserve"> ods.1 písm. c) bolo vypracované toto odborné stanovisko hlavného kontrolóra k záverečnému účtu obce za rok 20</w:t>
      </w:r>
      <w:r w:rsidR="00AC408C">
        <w:rPr>
          <w:rFonts w:ascii="Times New Roman" w:hAnsi="Times New Roman" w:cs="Times New Roman"/>
          <w:sz w:val="24"/>
          <w:szCs w:val="24"/>
        </w:rPr>
        <w:t>2</w:t>
      </w:r>
      <w:r w:rsidR="00577E64">
        <w:rPr>
          <w:rFonts w:ascii="Times New Roman" w:hAnsi="Times New Roman" w:cs="Times New Roman"/>
          <w:sz w:val="24"/>
          <w:szCs w:val="24"/>
        </w:rPr>
        <w:t>4</w:t>
      </w:r>
      <w:r w:rsidRPr="00EA0A68">
        <w:rPr>
          <w:rFonts w:ascii="Times New Roman" w:hAnsi="Times New Roman" w:cs="Times New Roman"/>
          <w:sz w:val="24"/>
          <w:szCs w:val="24"/>
        </w:rPr>
        <w:t>:</w:t>
      </w:r>
    </w:p>
    <w:p w14:paraId="5E66E190" w14:textId="77777777" w:rsidR="00EA0A68" w:rsidRPr="00EA0A68" w:rsidRDefault="00EA0A68" w:rsidP="00EA0A68">
      <w:pPr>
        <w:numPr>
          <w:ilvl w:val="0"/>
          <w:numId w:val="1"/>
        </w:numPr>
        <w:spacing w:after="0" w:line="240" w:lineRule="auto"/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EA0A68">
        <w:rPr>
          <w:rStyle w:val="Vrazn"/>
          <w:rFonts w:ascii="Times New Roman" w:hAnsi="Times New Roman" w:cs="Times New Roman"/>
          <w:sz w:val="24"/>
          <w:szCs w:val="24"/>
        </w:rPr>
        <w:t>Úvod:</w:t>
      </w:r>
    </w:p>
    <w:p w14:paraId="2BE845FA" w14:textId="0B86A47D" w:rsidR="00BD5106" w:rsidRDefault="00EA0A68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 w:rsidRPr="00614BAF">
        <w:rPr>
          <w:rFonts w:ascii="Times New Roman" w:hAnsi="Times New Roman" w:cs="Times New Roman"/>
          <w:sz w:val="24"/>
          <w:szCs w:val="24"/>
        </w:rPr>
        <w:t>Rozpočet obce pre r. 20</w:t>
      </w:r>
      <w:r w:rsidR="004B2040">
        <w:rPr>
          <w:rFonts w:ascii="Times New Roman" w:hAnsi="Times New Roman" w:cs="Times New Roman"/>
          <w:sz w:val="24"/>
          <w:szCs w:val="24"/>
        </w:rPr>
        <w:t>2</w:t>
      </w:r>
      <w:r w:rsidR="00577E64">
        <w:rPr>
          <w:rFonts w:ascii="Times New Roman" w:hAnsi="Times New Roman" w:cs="Times New Roman"/>
          <w:sz w:val="24"/>
          <w:szCs w:val="24"/>
        </w:rPr>
        <w:t>4</w:t>
      </w:r>
      <w:r w:rsidRPr="00614BAF">
        <w:rPr>
          <w:rFonts w:ascii="Times New Roman" w:hAnsi="Times New Roman" w:cs="Times New Roman"/>
          <w:sz w:val="24"/>
          <w:szCs w:val="24"/>
        </w:rPr>
        <w:t xml:space="preserve"> bol schválený obecným zastupiteľstvom (ďalej len "OZ") v súlade so zák. č. 369/1990 Zb. o obecnom zriadení v platnom znení uznesením č</w:t>
      </w:r>
      <w:r w:rsidRPr="00C151B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32126" w:rsidRPr="00DA68C9">
        <w:rPr>
          <w:rFonts w:ascii="Times New Roman" w:hAnsi="Times New Roman" w:cs="Times New Roman"/>
          <w:sz w:val="24"/>
          <w:szCs w:val="24"/>
        </w:rPr>
        <w:t>0</w:t>
      </w:r>
      <w:r w:rsidR="004D112E">
        <w:rPr>
          <w:rFonts w:ascii="Times New Roman" w:hAnsi="Times New Roman" w:cs="Times New Roman"/>
          <w:sz w:val="24"/>
          <w:szCs w:val="24"/>
        </w:rPr>
        <w:t>2</w:t>
      </w:r>
      <w:r w:rsidR="004911C6" w:rsidRPr="0039595B">
        <w:rPr>
          <w:rFonts w:ascii="Times New Roman" w:hAnsi="Times New Roman" w:cs="Times New Roman"/>
          <w:sz w:val="24"/>
          <w:szCs w:val="24"/>
        </w:rPr>
        <w:t>/</w:t>
      </w:r>
      <w:r w:rsidR="00F32126">
        <w:rPr>
          <w:rFonts w:ascii="Times New Roman" w:hAnsi="Times New Roman" w:cs="Times New Roman"/>
          <w:sz w:val="24"/>
          <w:szCs w:val="24"/>
        </w:rPr>
        <w:t>0</w:t>
      </w:r>
      <w:r w:rsidR="006F0EB7">
        <w:rPr>
          <w:rFonts w:ascii="Times New Roman" w:hAnsi="Times New Roman" w:cs="Times New Roman"/>
          <w:sz w:val="24"/>
          <w:szCs w:val="24"/>
        </w:rPr>
        <w:t>5</w:t>
      </w:r>
      <w:r w:rsidR="00F32126">
        <w:rPr>
          <w:rFonts w:ascii="Times New Roman" w:hAnsi="Times New Roman" w:cs="Times New Roman"/>
          <w:sz w:val="24"/>
          <w:szCs w:val="24"/>
        </w:rPr>
        <w:t>/20</w:t>
      </w:r>
      <w:r w:rsidR="003C786A">
        <w:rPr>
          <w:rFonts w:ascii="Times New Roman" w:hAnsi="Times New Roman" w:cs="Times New Roman"/>
          <w:sz w:val="24"/>
          <w:szCs w:val="24"/>
        </w:rPr>
        <w:t>2</w:t>
      </w:r>
      <w:r w:rsidR="00577E64">
        <w:rPr>
          <w:rFonts w:ascii="Times New Roman" w:hAnsi="Times New Roman" w:cs="Times New Roman"/>
          <w:sz w:val="24"/>
          <w:szCs w:val="24"/>
        </w:rPr>
        <w:t>3</w:t>
      </w:r>
      <w:r w:rsidRPr="00614BAF">
        <w:rPr>
          <w:rFonts w:ascii="Times New Roman" w:hAnsi="Times New Roman" w:cs="Times New Roman"/>
          <w:sz w:val="24"/>
          <w:szCs w:val="24"/>
        </w:rPr>
        <w:t xml:space="preserve"> zo dňa </w:t>
      </w:r>
      <w:r w:rsidR="00B323AA">
        <w:rPr>
          <w:rFonts w:ascii="Times New Roman" w:hAnsi="Times New Roman" w:cs="Times New Roman"/>
          <w:sz w:val="24"/>
          <w:szCs w:val="24"/>
        </w:rPr>
        <w:t>1</w:t>
      </w:r>
      <w:r w:rsidR="00E176CF">
        <w:rPr>
          <w:rFonts w:ascii="Times New Roman" w:hAnsi="Times New Roman" w:cs="Times New Roman"/>
          <w:sz w:val="24"/>
          <w:szCs w:val="24"/>
        </w:rPr>
        <w:t>3</w:t>
      </w:r>
      <w:r w:rsidR="0039595B">
        <w:rPr>
          <w:rFonts w:ascii="Times New Roman" w:hAnsi="Times New Roman" w:cs="Times New Roman"/>
          <w:sz w:val="24"/>
          <w:szCs w:val="24"/>
        </w:rPr>
        <w:t>.</w:t>
      </w:r>
      <w:r w:rsidR="00B323AA">
        <w:rPr>
          <w:rFonts w:ascii="Times New Roman" w:hAnsi="Times New Roman" w:cs="Times New Roman"/>
          <w:sz w:val="24"/>
          <w:szCs w:val="24"/>
        </w:rPr>
        <w:t>12</w:t>
      </w:r>
      <w:r w:rsidR="0039595B">
        <w:rPr>
          <w:rFonts w:ascii="Times New Roman" w:hAnsi="Times New Roman" w:cs="Times New Roman"/>
          <w:sz w:val="24"/>
          <w:szCs w:val="24"/>
        </w:rPr>
        <w:t>.20</w:t>
      </w:r>
      <w:r w:rsidR="003C786A">
        <w:rPr>
          <w:rFonts w:ascii="Times New Roman" w:hAnsi="Times New Roman" w:cs="Times New Roman"/>
          <w:sz w:val="24"/>
          <w:szCs w:val="24"/>
        </w:rPr>
        <w:t>2</w:t>
      </w:r>
      <w:r w:rsidR="00E176CF">
        <w:rPr>
          <w:rFonts w:ascii="Times New Roman" w:hAnsi="Times New Roman" w:cs="Times New Roman"/>
          <w:sz w:val="24"/>
          <w:szCs w:val="24"/>
        </w:rPr>
        <w:t>3</w:t>
      </w:r>
      <w:r w:rsidR="0039595B">
        <w:rPr>
          <w:rFonts w:ascii="Times New Roman" w:hAnsi="Times New Roman" w:cs="Times New Roman"/>
          <w:sz w:val="24"/>
          <w:szCs w:val="24"/>
        </w:rPr>
        <w:t>.</w:t>
      </w:r>
      <w:r w:rsidRPr="00614BAF">
        <w:rPr>
          <w:rFonts w:ascii="Times New Roman" w:hAnsi="Times New Roman" w:cs="Times New Roman"/>
          <w:sz w:val="24"/>
          <w:szCs w:val="24"/>
        </w:rPr>
        <w:t xml:space="preserve"> </w:t>
      </w:r>
      <w:r w:rsidR="00BD5106">
        <w:rPr>
          <w:rFonts w:ascii="Times New Roman" w:hAnsi="Times New Roman" w:cs="Times New Roman"/>
          <w:sz w:val="24"/>
          <w:szCs w:val="24"/>
        </w:rPr>
        <w:t>V priebehu roka 20</w:t>
      </w:r>
      <w:r w:rsidR="006538E3">
        <w:rPr>
          <w:rFonts w:ascii="Times New Roman" w:hAnsi="Times New Roman" w:cs="Times New Roman"/>
          <w:sz w:val="24"/>
          <w:szCs w:val="24"/>
        </w:rPr>
        <w:t>2</w:t>
      </w:r>
      <w:r w:rsidR="00577E64">
        <w:rPr>
          <w:rFonts w:ascii="Times New Roman" w:hAnsi="Times New Roman" w:cs="Times New Roman"/>
          <w:sz w:val="24"/>
          <w:szCs w:val="24"/>
        </w:rPr>
        <w:t>4</w:t>
      </w:r>
      <w:r w:rsidR="00935FB8">
        <w:rPr>
          <w:rFonts w:ascii="Times New Roman" w:hAnsi="Times New Roman" w:cs="Times New Roman"/>
          <w:sz w:val="24"/>
          <w:szCs w:val="24"/>
        </w:rPr>
        <w:t xml:space="preserve"> bol</w:t>
      </w:r>
      <w:r w:rsidR="00EC31A3">
        <w:rPr>
          <w:rFonts w:ascii="Times New Roman" w:hAnsi="Times New Roman" w:cs="Times New Roman"/>
          <w:sz w:val="24"/>
          <w:szCs w:val="24"/>
        </w:rPr>
        <w:t>i</w:t>
      </w:r>
      <w:r w:rsidR="00935FB8">
        <w:rPr>
          <w:rFonts w:ascii="Times New Roman" w:hAnsi="Times New Roman" w:cs="Times New Roman"/>
          <w:sz w:val="24"/>
          <w:szCs w:val="24"/>
        </w:rPr>
        <w:t xml:space="preserve"> OZ schválen</w:t>
      </w:r>
      <w:r w:rsidR="00EC31A3">
        <w:rPr>
          <w:rFonts w:ascii="Times New Roman" w:hAnsi="Times New Roman" w:cs="Times New Roman"/>
          <w:sz w:val="24"/>
          <w:szCs w:val="24"/>
        </w:rPr>
        <w:t>é</w:t>
      </w:r>
      <w:r w:rsidR="00935FB8">
        <w:rPr>
          <w:rFonts w:ascii="Times New Roman" w:hAnsi="Times New Roman" w:cs="Times New Roman"/>
          <w:sz w:val="24"/>
          <w:szCs w:val="24"/>
        </w:rPr>
        <w:t xml:space="preserve"> </w:t>
      </w:r>
      <w:r w:rsidR="00EC31A3">
        <w:rPr>
          <w:rFonts w:ascii="Times New Roman" w:hAnsi="Times New Roman" w:cs="Times New Roman"/>
          <w:sz w:val="24"/>
          <w:szCs w:val="24"/>
        </w:rPr>
        <w:t xml:space="preserve">dve </w:t>
      </w:r>
      <w:r w:rsidR="00BD5106">
        <w:rPr>
          <w:rFonts w:ascii="Times New Roman" w:hAnsi="Times New Roman" w:cs="Times New Roman"/>
          <w:sz w:val="24"/>
          <w:szCs w:val="24"/>
        </w:rPr>
        <w:t>úprav</w:t>
      </w:r>
      <w:r w:rsidR="00EC31A3">
        <w:rPr>
          <w:rFonts w:ascii="Times New Roman" w:hAnsi="Times New Roman" w:cs="Times New Roman"/>
          <w:sz w:val="24"/>
          <w:szCs w:val="24"/>
        </w:rPr>
        <w:t>y</w:t>
      </w:r>
      <w:r w:rsidR="00BD5106">
        <w:rPr>
          <w:rFonts w:ascii="Times New Roman" w:hAnsi="Times New Roman" w:cs="Times New Roman"/>
          <w:sz w:val="24"/>
          <w:szCs w:val="24"/>
        </w:rPr>
        <w:t xml:space="preserve"> rozpočtu:</w:t>
      </w:r>
    </w:p>
    <w:p w14:paraId="3DD57204" w14:textId="66FD8D9D" w:rsidR="00DF60A6" w:rsidRDefault="00BD5106" w:rsidP="00477E03">
      <w:pPr>
        <w:pStyle w:val="Odsekzoznamu"/>
        <w:numPr>
          <w:ilvl w:val="1"/>
          <w:numId w:val="1"/>
        </w:numPr>
        <w:jc w:val="both"/>
      </w:pPr>
      <w:r>
        <w:t xml:space="preserve">uznesenie č. </w:t>
      </w:r>
      <w:r w:rsidR="00B323AA">
        <w:t>0</w:t>
      </w:r>
      <w:r w:rsidR="009B1A9B">
        <w:t>2</w:t>
      </w:r>
      <w:r w:rsidR="00B323AA">
        <w:t>/</w:t>
      </w:r>
      <w:r w:rsidR="003C786A">
        <w:t>0</w:t>
      </w:r>
      <w:r w:rsidR="00005A44">
        <w:t>2</w:t>
      </w:r>
      <w:r w:rsidR="004911C6">
        <w:t>/20</w:t>
      </w:r>
      <w:r w:rsidR="006538E3">
        <w:t>2</w:t>
      </w:r>
      <w:r w:rsidR="00716B68">
        <w:t xml:space="preserve">4 </w:t>
      </w:r>
      <w:r>
        <w:t>zo dňa</w:t>
      </w:r>
      <w:r w:rsidR="004911C6">
        <w:t xml:space="preserve"> </w:t>
      </w:r>
      <w:r w:rsidR="003E6E2B">
        <w:t>23</w:t>
      </w:r>
      <w:r w:rsidR="004911C6">
        <w:t>.</w:t>
      </w:r>
      <w:r w:rsidR="00B323AA">
        <w:t>0</w:t>
      </w:r>
      <w:r w:rsidR="0062145C">
        <w:t>5</w:t>
      </w:r>
      <w:r w:rsidR="004911C6">
        <w:t>.20</w:t>
      </w:r>
      <w:r w:rsidR="006538E3">
        <w:t>2</w:t>
      </w:r>
      <w:r w:rsidR="00DF60A6">
        <w:t>4</w:t>
      </w:r>
    </w:p>
    <w:p w14:paraId="628B4E5A" w14:textId="237CF9AA" w:rsidR="00EC31A3" w:rsidRDefault="009D465F" w:rsidP="00BD5106">
      <w:pPr>
        <w:pStyle w:val="Odsekzoznamu"/>
        <w:numPr>
          <w:ilvl w:val="1"/>
          <w:numId w:val="1"/>
        </w:numPr>
        <w:jc w:val="both"/>
      </w:pPr>
      <w:r>
        <w:t>uznesenie č. 0</w:t>
      </w:r>
      <w:r w:rsidR="00C01D12">
        <w:t>3</w:t>
      </w:r>
      <w:r>
        <w:t>/0</w:t>
      </w:r>
      <w:r w:rsidR="001850E0">
        <w:t>4</w:t>
      </w:r>
      <w:r>
        <w:t>/</w:t>
      </w:r>
      <w:r w:rsidR="00005A44">
        <w:t>20</w:t>
      </w:r>
      <w:r>
        <w:t>2</w:t>
      </w:r>
      <w:r w:rsidR="003C51B8">
        <w:t>4</w:t>
      </w:r>
      <w:r w:rsidR="003C786A">
        <w:t xml:space="preserve"> </w:t>
      </w:r>
      <w:r>
        <w:t xml:space="preserve">zo dňa </w:t>
      </w:r>
      <w:r w:rsidR="00005A44">
        <w:t>1</w:t>
      </w:r>
      <w:r w:rsidR="00CE5ACC">
        <w:t>1</w:t>
      </w:r>
      <w:r w:rsidR="00005A44">
        <w:t>.1</w:t>
      </w:r>
      <w:r w:rsidR="008E5AFC">
        <w:t>2</w:t>
      </w:r>
      <w:r>
        <w:t>.202</w:t>
      </w:r>
      <w:r w:rsidR="00DF60A6">
        <w:t>4</w:t>
      </w:r>
      <w:r>
        <w:t>.</w:t>
      </w:r>
    </w:p>
    <w:p w14:paraId="1549B3F5" w14:textId="77777777" w:rsidR="00AE6F86" w:rsidRPr="00AE6F86" w:rsidRDefault="00AE6F86" w:rsidP="00AE6F86">
      <w:pPr>
        <w:jc w:val="both"/>
        <w:rPr>
          <w:rFonts w:ascii="Times New Roman" w:hAnsi="Times New Roman" w:cs="Times New Roman"/>
          <w:sz w:val="24"/>
          <w:szCs w:val="24"/>
        </w:rPr>
      </w:pPr>
      <w:r w:rsidRPr="00AE6F86">
        <w:rPr>
          <w:rFonts w:ascii="Times New Roman" w:hAnsi="Times New Roman" w:cs="Times New Roman"/>
          <w:sz w:val="24"/>
          <w:szCs w:val="24"/>
        </w:rPr>
        <w:t>Zmen</w:t>
      </w:r>
      <w:r w:rsidR="0068303E">
        <w:rPr>
          <w:rFonts w:ascii="Times New Roman" w:hAnsi="Times New Roman" w:cs="Times New Roman"/>
          <w:sz w:val="24"/>
          <w:szCs w:val="24"/>
        </w:rPr>
        <w:t>a</w:t>
      </w:r>
      <w:r w:rsidRPr="00AE6F86">
        <w:rPr>
          <w:rFonts w:ascii="Times New Roman" w:hAnsi="Times New Roman" w:cs="Times New Roman"/>
          <w:sz w:val="24"/>
          <w:szCs w:val="24"/>
        </w:rPr>
        <w:t xml:space="preserve"> rozpočtu obce formou rozpočtov</w:t>
      </w:r>
      <w:r w:rsidR="0068303E">
        <w:rPr>
          <w:rFonts w:ascii="Times New Roman" w:hAnsi="Times New Roman" w:cs="Times New Roman"/>
          <w:sz w:val="24"/>
          <w:szCs w:val="24"/>
        </w:rPr>
        <w:t>ého</w:t>
      </w:r>
      <w:r w:rsidRPr="00AE6F86">
        <w:rPr>
          <w:rFonts w:ascii="Times New Roman" w:hAnsi="Times New Roman" w:cs="Times New Roman"/>
          <w:sz w:val="24"/>
          <w:szCs w:val="24"/>
        </w:rPr>
        <w:t xml:space="preserve"> opatren</w:t>
      </w:r>
      <w:r w:rsidR="0068303E">
        <w:rPr>
          <w:rFonts w:ascii="Times New Roman" w:hAnsi="Times New Roman" w:cs="Times New Roman"/>
          <w:sz w:val="24"/>
          <w:szCs w:val="24"/>
        </w:rPr>
        <w:t>ia</w:t>
      </w:r>
      <w:r w:rsidRPr="00AE6F86">
        <w:rPr>
          <w:rFonts w:ascii="Times New Roman" w:hAnsi="Times New Roman" w:cs="Times New Roman"/>
          <w:sz w:val="24"/>
          <w:szCs w:val="24"/>
        </w:rPr>
        <w:t xml:space="preserve"> bol</w:t>
      </w:r>
      <w:r w:rsidR="0068303E">
        <w:rPr>
          <w:rFonts w:ascii="Times New Roman" w:hAnsi="Times New Roman" w:cs="Times New Roman"/>
          <w:sz w:val="24"/>
          <w:szCs w:val="24"/>
        </w:rPr>
        <w:t>a</w:t>
      </w:r>
      <w:r w:rsidRPr="00AE6F86">
        <w:rPr>
          <w:rFonts w:ascii="Times New Roman" w:hAnsi="Times New Roman" w:cs="Times New Roman"/>
          <w:sz w:val="24"/>
          <w:szCs w:val="24"/>
        </w:rPr>
        <w:t xml:space="preserve"> v priebehu roka vykon</w:t>
      </w:r>
      <w:r w:rsidR="0068303E">
        <w:rPr>
          <w:rFonts w:ascii="Times New Roman" w:hAnsi="Times New Roman" w:cs="Times New Roman"/>
          <w:sz w:val="24"/>
          <w:szCs w:val="24"/>
        </w:rPr>
        <w:t>aná</w:t>
      </w:r>
      <w:r w:rsidRPr="00AE6F86">
        <w:rPr>
          <w:rFonts w:ascii="Times New Roman" w:hAnsi="Times New Roman" w:cs="Times New Roman"/>
          <w:sz w:val="24"/>
          <w:szCs w:val="24"/>
        </w:rPr>
        <w:t xml:space="preserve"> v súlade so § 14 ods. 2 a 3 zák. č. 583/2004 Z. z.. </w:t>
      </w:r>
    </w:p>
    <w:p w14:paraId="478968A3" w14:textId="77777777" w:rsidR="00EA0A68" w:rsidRPr="00BD5106" w:rsidRDefault="00EA0A68" w:rsidP="00BD5106">
      <w:pPr>
        <w:pStyle w:val="Odsekzoznamu"/>
        <w:ind w:left="0"/>
        <w:jc w:val="both"/>
      </w:pPr>
      <w:r w:rsidRPr="00BD5106">
        <w:t xml:space="preserve">V zmysle § 16 ods. 12 zák. č. 583/2004 Z. z. o rozpočtových pravidlách územnej samosprávy v platnom znení je </w:t>
      </w:r>
      <w:r w:rsidRPr="00BD5106">
        <w:rPr>
          <w:b/>
        </w:rPr>
        <w:t>povinnosťou obce prerokovať predložený návrh záverečného účtu najneskôr do 6 mesiacov po uplynutí rozpočtového roka.</w:t>
      </w:r>
    </w:p>
    <w:p w14:paraId="7D801C9D" w14:textId="272CA1C8" w:rsidR="00EA0A68" w:rsidRPr="00BD5106" w:rsidRDefault="00EA0A68" w:rsidP="00C83C52">
      <w:pPr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EA0A68">
        <w:rPr>
          <w:rFonts w:ascii="Times New Roman" w:hAnsi="Times New Roman" w:cs="Times New Roman"/>
          <w:sz w:val="24"/>
          <w:szCs w:val="24"/>
        </w:rPr>
        <w:t xml:space="preserve">     Obec hospodárila podľa schváleného rozpočtu pri dosiahnutí celkových príjmov</w:t>
      </w:r>
      <w:r w:rsidRPr="00954E3C">
        <w:rPr>
          <w:rFonts w:ascii="Times New Roman" w:hAnsi="Times New Roman" w:cs="Times New Roman"/>
          <w:sz w:val="24"/>
          <w:szCs w:val="24"/>
        </w:rPr>
        <w:t xml:space="preserve"> </w:t>
      </w:r>
      <w:r w:rsidR="00005A44">
        <w:rPr>
          <w:rFonts w:ascii="Times New Roman" w:eastAsia="Times New Roman" w:hAnsi="Times New Roman"/>
          <w:b/>
          <w:sz w:val="24"/>
          <w:szCs w:val="24"/>
        </w:rPr>
        <w:t>2</w:t>
      </w:r>
      <w:r w:rsidR="009342A5">
        <w:rPr>
          <w:rFonts w:ascii="Times New Roman" w:eastAsia="Times New Roman" w:hAnsi="Times New Roman"/>
          <w:b/>
          <w:sz w:val="24"/>
          <w:szCs w:val="24"/>
        </w:rPr>
        <w:t>57 445</w:t>
      </w:r>
      <w:r w:rsidR="00A07440">
        <w:rPr>
          <w:rFonts w:ascii="Times New Roman" w:eastAsia="Times New Roman" w:hAnsi="Times New Roman"/>
          <w:b/>
          <w:sz w:val="24"/>
          <w:szCs w:val="24"/>
        </w:rPr>
        <w:t>,</w:t>
      </w:r>
      <w:r w:rsidR="00007ADF">
        <w:rPr>
          <w:rFonts w:ascii="Times New Roman" w:eastAsia="Times New Roman" w:hAnsi="Times New Roman"/>
          <w:b/>
          <w:sz w:val="24"/>
          <w:szCs w:val="24"/>
        </w:rPr>
        <w:t>24</w:t>
      </w:r>
      <w:r w:rsidR="004354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05A4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A0A68">
        <w:rPr>
          <w:rFonts w:ascii="Times New Roman" w:hAnsi="Times New Roman" w:cs="Times New Roman"/>
          <w:sz w:val="24"/>
          <w:szCs w:val="24"/>
        </w:rPr>
        <w:t>eur a čerpaní celkových výdavkov</w:t>
      </w:r>
      <w:r w:rsidR="004911C6">
        <w:rPr>
          <w:rFonts w:ascii="Times New Roman" w:hAnsi="Times New Roman" w:cs="Times New Roman"/>
          <w:sz w:val="24"/>
          <w:szCs w:val="24"/>
        </w:rPr>
        <w:t xml:space="preserve"> </w:t>
      </w:r>
      <w:r w:rsidR="0036099A">
        <w:rPr>
          <w:rFonts w:ascii="Times New Roman" w:eastAsia="Times New Roman" w:hAnsi="Times New Roman"/>
          <w:b/>
          <w:sz w:val="24"/>
          <w:szCs w:val="24"/>
        </w:rPr>
        <w:t>2</w:t>
      </w:r>
      <w:r w:rsidR="00CA3DCF">
        <w:rPr>
          <w:rFonts w:ascii="Times New Roman" w:eastAsia="Times New Roman" w:hAnsi="Times New Roman"/>
          <w:b/>
          <w:sz w:val="24"/>
          <w:szCs w:val="24"/>
        </w:rPr>
        <w:t>33 102,03</w:t>
      </w:r>
      <w:r w:rsidR="0036099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A0A68">
        <w:rPr>
          <w:rFonts w:ascii="Times New Roman" w:hAnsi="Times New Roman" w:cs="Times New Roman"/>
          <w:sz w:val="24"/>
          <w:szCs w:val="24"/>
        </w:rPr>
        <w:t>eur</w:t>
      </w:r>
      <w:r w:rsidR="00EA4258">
        <w:rPr>
          <w:rFonts w:ascii="Times New Roman" w:hAnsi="Times New Roman" w:cs="Times New Roman"/>
          <w:sz w:val="24"/>
          <w:szCs w:val="24"/>
        </w:rPr>
        <w:t>, t. j. výsledkom hos</w:t>
      </w:r>
      <w:r w:rsidR="00E71C7B">
        <w:rPr>
          <w:rFonts w:ascii="Times New Roman" w:hAnsi="Times New Roman" w:cs="Times New Roman"/>
          <w:sz w:val="24"/>
          <w:szCs w:val="24"/>
        </w:rPr>
        <w:t xml:space="preserve">podárenia je </w:t>
      </w:r>
      <w:r w:rsidR="00D57A31">
        <w:rPr>
          <w:rFonts w:ascii="Times New Roman" w:hAnsi="Times New Roman" w:cs="Times New Roman"/>
          <w:sz w:val="24"/>
          <w:szCs w:val="24"/>
        </w:rPr>
        <w:t>prebytok</w:t>
      </w:r>
      <w:r w:rsidR="00E71C7B">
        <w:rPr>
          <w:rFonts w:ascii="Times New Roman" w:hAnsi="Times New Roman" w:cs="Times New Roman"/>
          <w:sz w:val="24"/>
          <w:szCs w:val="24"/>
        </w:rPr>
        <w:t xml:space="preserve"> vo výške</w:t>
      </w:r>
      <w:r w:rsidR="00E71C7B" w:rsidRPr="003A05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0581" w:rsidRPr="003A05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55AB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A0581" w:rsidRPr="003A05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239D">
        <w:rPr>
          <w:rFonts w:ascii="Times New Roman" w:hAnsi="Times New Roman" w:cs="Times New Roman"/>
          <w:b/>
          <w:bCs/>
          <w:sz w:val="24"/>
          <w:szCs w:val="24"/>
        </w:rPr>
        <w:t>343</w:t>
      </w:r>
      <w:r w:rsidR="00C00915" w:rsidRPr="003A058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239D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7C2BE6" w:rsidRPr="007C2B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258">
        <w:rPr>
          <w:rFonts w:ascii="Times New Roman" w:hAnsi="Times New Roman" w:cs="Times New Roman"/>
          <w:sz w:val="24"/>
          <w:szCs w:val="24"/>
        </w:rPr>
        <w:t>eur</w:t>
      </w:r>
      <w:r w:rsidRPr="00EA0A68">
        <w:rPr>
          <w:rFonts w:ascii="Times New Roman" w:hAnsi="Times New Roman" w:cs="Times New Roman"/>
          <w:sz w:val="24"/>
          <w:szCs w:val="24"/>
        </w:rPr>
        <w:t xml:space="preserve">. </w:t>
      </w:r>
      <w:r w:rsidRPr="00BD5106">
        <w:rPr>
          <w:rFonts w:ascii="Times New Roman" w:hAnsi="Times New Roman" w:cs="Times New Roman"/>
          <w:sz w:val="24"/>
          <w:szCs w:val="24"/>
        </w:rPr>
        <w:t>O rozpočtových opatreniach vykonaných v priebehu roka je vedená operatívna evidencia a aj záverečný úče</w:t>
      </w:r>
      <w:r w:rsidR="00E71C7B">
        <w:rPr>
          <w:rFonts w:ascii="Times New Roman" w:hAnsi="Times New Roman" w:cs="Times New Roman"/>
          <w:sz w:val="24"/>
          <w:szCs w:val="24"/>
        </w:rPr>
        <w:t xml:space="preserve">t obce obsahuje odkaz na jeho </w:t>
      </w:r>
      <w:r w:rsidR="00F4124A">
        <w:rPr>
          <w:rFonts w:ascii="Times New Roman" w:hAnsi="Times New Roman" w:cs="Times New Roman"/>
          <w:sz w:val="24"/>
          <w:szCs w:val="24"/>
        </w:rPr>
        <w:t>dve</w:t>
      </w:r>
      <w:r w:rsidRPr="00BD5106">
        <w:rPr>
          <w:rFonts w:ascii="Times New Roman" w:hAnsi="Times New Roman" w:cs="Times New Roman"/>
          <w:sz w:val="24"/>
          <w:szCs w:val="24"/>
        </w:rPr>
        <w:t xml:space="preserve"> schválen</w:t>
      </w:r>
      <w:r w:rsidR="00F4124A">
        <w:rPr>
          <w:rFonts w:ascii="Times New Roman" w:hAnsi="Times New Roman" w:cs="Times New Roman"/>
          <w:sz w:val="24"/>
          <w:szCs w:val="24"/>
        </w:rPr>
        <w:t>é</w:t>
      </w:r>
      <w:r w:rsidR="00E94A27">
        <w:rPr>
          <w:rFonts w:ascii="Times New Roman" w:hAnsi="Times New Roman" w:cs="Times New Roman"/>
          <w:sz w:val="24"/>
          <w:szCs w:val="24"/>
        </w:rPr>
        <w:t xml:space="preserve"> </w:t>
      </w:r>
      <w:r w:rsidRPr="00BD5106">
        <w:rPr>
          <w:rFonts w:ascii="Times New Roman" w:hAnsi="Times New Roman" w:cs="Times New Roman"/>
          <w:sz w:val="24"/>
          <w:szCs w:val="24"/>
        </w:rPr>
        <w:t>zmen</w:t>
      </w:r>
      <w:r w:rsidR="00F4124A">
        <w:rPr>
          <w:rFonts w:ascii="Times New Roman" w:hAnsi="Times New Roman" w:cs="Times New Roman"/>
          <w:sz w:val="24"/>
          <w:szCs w:val="24"/>
        </w:rPr>
        <w:t>y</w:t>
      </w:r>
      <w:r w:rsidR="00C83C52" w:rsidRPr="00BD5106">
        <w:rPr>
          <w:rFonts w:ascii="Times New Roman" w:hAnsi="Times New Roman" w:cs="Times New Roman"/>
          <w:sz w:val="24"/>
          <w:szCs w:val="24"/>
        </w:rPr>
        <w:t>.</w:t>
      </w:r>
    </w:p>
    <w:p w14:paraId="36D6A65A" w14:textId="77777777" w:rsidR="00EA0A68" w:rsidRPr="00EA0A68" w:rsidRDefault="00EA0A68" w:rsidP="00EA0A68">
      <w:pPr>
        <w:numPr>
          <w:ilvl w:val="0"/>
          <w:numId w:val="2"/>
        </w:numPr>
        <w:spacing w:after="0" w:line="240" w:lineRule="auto"/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EA0A68">
        <w:rPr>
          <w:rStyle w:val="Vrazn"/>
          <w:rFonts w:ascii="Times New Roman" w:hAnsi="Times New Roman" w:cs="Times New Roman"/>
          <w:sz w:val="24"/>
          <w:szCs w:val="24"/>
        </w:rPr>
        <w:t>Súlad so zákonmi:</w:t>
      </w:r>
    </w:p>
    <w:p w14:paraId="63B89326" w14:textId="52680658" w:rsidR="00EA0A68" w:rsidRPr="00EA0A68" w:rsidRDefault="00EA0A68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 w:rsidRPr="00EA0A68">
        <w:rPr>
          <w:rFonts w:ascii="Times New Roman" w:hAnsi="Times New Roman" w:cs="Times New Roman"/>
          <w:b/>
          <w:sz w:val="24"/>
          <w:szCs w:val="24"/>
        </w:rPr>
        <w:t>Zákonná povinnosť</w:t>
      </w:r>
      <w:r w:rsidRPr="00EA0A68">
        <w:rPr>
          <w:rFonts w:ascii="Times New Roman" w:hAnsi="Times New Roman" w:cs="Times New Roman"/>
          <w:sz w:val="24"/>
          <w:szCs w:val="24"/>
        </w:rPr>
        <w:t xml:space="preserve"> podľa § 9 ods. 2 zákona č. 369/1990 Zb. o obecnom zriadení v platnom znení </w:t>
      </w:r>
      <w:r w:rsidRPr="00EA0A68">
        <w:rPr>
          <w:rFonts w:ascii="Times New Roman" w:hAnsi="Times New Roman" w:cs="Times New Roman"/>
          <w:b/>
          <w:sz w:val="24"/>
          <w:szCs w:val="24"/>
        </w:rPr>
        <w:t>o zverejnení</w:t>
      </w:r>
      <w:r w:rsidRPr="00EA0A68">
        <w:rPr>
          <w:rFonts w:ascii="Times New Roman" w:hAnsi="Times New Roman" w:cs="Times New Roman"/>
          <w:sz w:val="24"/>
          <w:szCs w:val="24"/>
        </w:rPr>
        <w:t xml:space="preserve"> návrhu záverečného účtu obce najmenej na 15 dní pred jeho prerokovaním v OZ </w:t>
      </w:r>
      <w:r w:rsidRPr="00EA0A68">
        <w:rPr>
          <w:rFonts w:ascii="Times New Roman" w:hAnsi="Times New Roman" w:cs="Times New Roman"/>
          <w:b/>
          <w:sz w:val="24"/>
          <w:szCs w:val="24"/>
        </w:rPr>
        <w:t>bola splnená</w:t>
      </w:r>
      <w:r w:rsidRPr="00EA0A68">
        <w:rPr>
          <w:rFonts w:ascii="Times New Roman" w:hAnsi="Times New Roman" w:cs="Times New Roman"/>
          <w:sz w:val="24"/>
          <w:szCs w:val="24"/>
        </w:rPr>
        <w:t xml:space="preserve"> – vyvesením na úradnej tabuli obce</w:t>
      </w:r>
      <w:r w:rsidR="00797512">
        <w:rPr>
          <w:rFonts w:ascii="Times New Roman" w:hAnsi="Times New Roman" w:cs="Times New Roman"/>
          <w:sz w:val="24"/>
          <w:szCs w:val="24"/>
        </w:rPr>
        <w:t xml:space="preserve"> </w:t>
      </w:r>
      <w:r w:rsidR="009C10C4">
        <w:rPr>
          <w:rFonts w:ascii="Times New Roman" w:hAnsi="Times New Roman" w:cs="Times New Roman"/>
          <w:sz w:val="24"/>
          <w:szCs w:val="24"/>
        </w:rPr>
        <w:t>22.04</w:t>
      </w:r>
      <w:r w:rsidR="000E3422">
        <w:rPr>
          <w:rFonts w:ascii="Times New Roman" w:hAnsi="Times New Roman" w:cs="Times New Roman"/>
          <w:sz w:val="24"/>
          <w:szCs w:val="24"/>
        </w:rPr>
        <w:t>.202</w:t>
      </w:r>
      <w:r w:rsidR="009C10C4">
        <w:rPr>
          <w:rFonts w:ascii="Times New Roman" w:hAnsi="Times New Roman" w:cs="Times New Roman"/>
          <w:sz w:val="24"/>
          <w:szCs w:val="24"/>
        </w:rPr>
        <w:t>5</w:t>
      </w:r>
      <w:r w:rsidR="008B5603">
        <w:rPr>
          <w:rFonts w:ascii="Times New Roman" w:hAnsi="Times New Roman" w:cs="Times New Roman"/>
          <w:sz w:val="24"/>
          <w:szCs w:val="24"/>
        </w:rPr>
        <w:t xml:space="preserve">. Na </w:t>
      </w:r>
      <w:r w:rsidR="005C3335" w:rsidRPr="00E73D47">
        <w:rPr>
          <w:rFonts w:ascii="Times New Roman" w:hAnsi="Times New Roman" w:cs="Times New Roman"/>
          <w:sz w:val="24"/>
          <w:szCs w:val="24"/>
        </w:rPr>
        <w:t>webovom sídle</w:t>
      </w:r>
      <w:r w:rsidR="005D401C" w:rsidRPr="00E73D47">
        <w:rPr>
          <w:rFonts w:ascii="Times New Roman" w:hAnsi="Times New Roman" w:cs="Times New Roman"/>
          <w:sz w:val="24"/>
          <w:szCs w:val="24"/>
        </w:rPr>
        <w:t xml:space="preserve"> obce</w:t>
      </w:r>
      <w:r w:rsidR="00797512" w:rsidRPr="00E73D47">
        <w:rPr>
          <w:rFonts w:ascii="Times New Roman" w:hAnsi="Times New Roman" w:cs="Times New Roman"/>
          <w:sz w:val="24"/>
          <w:szCs w:val="24"/>
        </w:rPr>
        <w:t xml:space="preserve"> </w:t>
      </w:r>
      <w:r w:rsidR="004832A5">
        <w:rPr>
          <w:rFonts w:ascii="Times New Roman" w:hAnsi="Times New Roman" w:cs="Times New Roman"/>
          <w:sz w:val="24"/>
          <w:szCs w:val="24"/>
        </w:rPr>
        <w:t>b</w:t>
      </w:r>
      <w:r w:rsidR="008B5603">
        <w:rPr>
          <w:rFonts w:ascii="Times New Roman" w:hAnsi="Times New Roman" w:cs="Times New Roman"/>
          <w:sz w:val="24"/>
          <w:szCs w:val="24"/>
        </w:rPr>
        <w:t>ol návrh záverečného účtu zverejnený</w:t>
      </w:r>
      <w:r w:rsidR="004832A5">
        <w:rPr>
          <w:rFonts w:ascii="Times New Roman" w:hAnsi="Times New Roman" w:cs="Times New Roman"/>
          <w:sz w:val="24"/>
          <w:szCs w:val="24"/>
        </w:rPr>
        <w:t xml:space="preserve"> </w:t>
      </w:r>
      <w:r w:rsidR="009C10C4">
        <w:rPr>
          <w:rFonts w:ascii="Times New Roman" w:hAnsi="Times New Roman" w:cs="Times New Roman"/>
          <w:sz w:val="24"/>
          <w:szCs w:val="24"/>
        </w:rPr>
        <w:t>22</w:t>
      </w:r>
      <w:r w:rsidR="004832A5">
        <w:rPr>
          <w:rFonts w:ascii="Times New Roman" w:hAnsi="Times New Roman" w:cs="Times New Roman"/>
          <w:sz w:val="24"/>
          <w:szCs w:val="24"/>
        </w:rPr>
        <w:t>.0</w:t>
      </w:r>
      <w:r w:rsidR="009C10C4">
        <w:rPr>
          <w:rFonts w:ascii="Times New Roman" w:hAnsi="Times New Roman" w:cs="Times New Roman"/>
          <w:sz w:val="24"/>
          <w:szCs w:val="24"/>
        </w:rPr>
        <w:t>4</w:t>
      </w:r>
      <w:r w:rsidR="004832A5">
        <w:rPr>
          <w:rFonts w:ascii="Times New Roman" w:hAnsi="Times New Roman" w:cs="Times New Roman"/>
          <w:sz w:val="24"/>
          <w:szCs w:val="24"/>
        </w:rPr>
        <w:t>.202</w:t>
      </w:r>
      <w:r w:rsidR="009C10C4">
        <w:rPr>
          <w:rFonts w:ascii="Times New Roman" w:hAnsi="Times New Roman" w:cs="Times New Roman"/>
          <w:sz w:val="24"/>
          <w:szCs w:val="24"/>
        </w:rPr>
        <w:t>5</w:t>
      </w:r>
      <w:r w:rsidRPr="00E73D47">
        <w:rPr>
          <w:rFonts w:ascii="Times New Roman" w:hAnsi="Times New Roman" w:cs="Times New Roman"/>
          <w:sz w:val="24"/>
          <w:szCs w:val="24"/>
        </w:rPr>
        <w:t>.</w:t>
      </w:r>
      <w:r w:rsidR="005C3335" w:rsidRPr="00E73D47">
        <w:rPr>
          <w:rFonts w:ascii="Times New Roman" w:hAnsi="Times New Roman" w:cs="Times New Roman"/>
          <w:sz w:val="24"/>
          <w:szCs w:val="24"/>
        </w:rPr>
        <w:t xml:space="preserve"> K návrhu záverečného účtu </w:t>
      </w:r>
      <w:r w:rsidR="004832A5">
        <w:rPr>
          <w:rFonts w:ascii="Times New Roman" w:hAnsi="Times New Roman" w:cs="Times New Roman"/>
          <w:sz w:val="24"/>
          <w:szCs w:val="24"/>
        </w:rPr>
        <w:t>dopos</w:t>
      </w:r>
      <w:r w:rsidR="00B609E5">
        <w:rPr>
          <w:rFonts w:ascii="Times New Roman" w:hAnsi="Times New Roman" w:cs="Times New Roman"/>
          <w:sz w:val="24"/>
          <w:szCs w:val="24"/>
        </w:rPr>
        <w:t>i</w:t>
      </w:r>
      <w:r w:rsidR="004832A5">
        <w:rPr>
          <w:rFonts w:ascii="Times New Roman" w:hAnsi="Times New Roman" w:cs="Times New Roman"/>
          <w:sz w:val="24"/>
          <w:szCs w:val="24"/>
        </w:rPr>
        <w:t xml:space="preserve">aľ </w:t>
      </w:r>
      <w:r w:rsidR="005C3335" w:rsidRPr="00E73D47">
        <w:rPr>
          <w:rFonts w:ascii="Times New Roman" w:hAnsi="Times New Roman" w:cs="Times New Roman"/>
          <w:sz w:val="24"/>
          <w:szCs w:val="24"/>
        </w:rPr>
        <w:t>neboli vznesené žiadne pripom</w:t>
      </w:r>
      <w:r w:rsidR="005C3335">
        <w:rPr>
          <w:rFonts w:ascii="Times New Roman" w:hAnsi="Times New Roman" w:cs="Times New Roman"/>
          <w:sz w:val="24"/>
          <w:szCs w:val="24"/>
        </w:rPr>
        <w:t>ienky.</w:t>
      </w:r>
    </w:p>
    <w:p w14:paraId="3AF20B72" w14:textId="2B1F593A" w:rsidR="00F35CD7" w:rsidRDefault="00EA0A68" w:rsidP="001E1CF7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0A68">
        <w:rPr>
          <w:rFonts w:ascii="Times New Roman" w:hAnsi="Times New Roman" w:cs="Times New Roman"/>
          <w:b/>
          <w:sz w:val="24"/>
          <w:szCs w:val="24"/>
        </w:rPr>
        <w:t xml:space="preserve">Návrh záverečného účtu obsahuje všetky náležitosti </w:t>
      </w:r>
      <w:r w:rsidRPr="00EA0A68">
        <w:rPr>
          <w:rFonts w:ascii="Times New Roman" w:hAnsi="Times New Roman" w:cs="Times New Roman"/>
          <w:sz w:val="24"/>
          <w:szCs w:val="24"/>
        </w:rPr>
        <w:t>v zmysle §16 ods. 5 je vnútorne členený v súlade  § 10 ods. 3 zák. 583/2004 Z. z. o rozpočtových pravidlách územnej samosprávy na bežný rozpočet, kapitálový rozpočet a finančné operácie a je zostavený podľa platnej rozpočtovej klasifikácie, stanovenej MF SR Opatrením č. MF/ 010175/ 2004-42 a jej novelami v členení na príjmy, výdavky</w:t>
      </w:r>
      <w:r w:rsidR="00020559">
        <w:rPr>
          <w:rFonts w:ascii="Times New Roman" w:hAnsi="Times New Roman" w:cs="Times New Roman"/>
          <w:sz w:val="24"/>
          <w:szCs w:val="24"/>
        </w:rPr>
        <w:t xml:space="preserve">, </w:t>
      </w:r>
      <w:r w:rsidRPr="00EA0A68">
        <w:rPr>
          <w:rFonts w:ascii="Times New Roman" w:hAnsi="Times New Roman" w:cs="Times New Roman"/>
          <w:sz w:val="24"/>
          <w:szCs w:val="24"/>
        </w:rPr>
        <w:t>finančné operácie príjmové a výdavkové. Obsahuje tiež  bilanciu aktív a pasív, prehľad o stave a vývoji dlhu</w:t>
      </w:r>
      <w:r w:rsidR="00DE042B">
        <w:rPr>
          <w:rFonts w:ascii="Times New Roman" w:hAnsi="Times New Roman" w:cs="Times New Roman"/>
          <w:sz w:val="24"/>
          <w:szCs w:val="24"/>
        </w:rPr>
        <w:t xml:space="preserve"> a</w:t>
      </w:r>
      <w:r w:rsidR="00020559">
        <w:rPr>
          <w:rFonts w:ascii="Times New Roman" w:hAnsi="Times New Roman" w:cs="Times New Roman"/>
          <w:sz w:val="24"/>
          <w:szCs w:val="24"/>
        </w:rPr>
        <w:t xml:space="preserve"> </w:t>
      </w:r>
      <w:r w:rsidR="006A7389">
        <w:rPr>
          <w:rFonts w:ascii="Times New Roman" w:hAnsi="Times New Roman" w:cs="Times New Roman"/>
          <w:sz w:val="24"/>
          <w:szCs w:val="24"/>
        </w:rPr>
        <w:t>p</w:t>
      </w:r>
      <w:r w:rsidR="00020559">
        <w:rPr>
          <w:rFonts w:ascii="Times New Roman" w:hAnsi="Times New Roman" w:cs="Times New Roman"/>
          <w:sz w:val="24"/>
          <w:szCs w:val="24"/>
        </w:rPr>
        <w:t>rehľad o poskytnutých dotáciách</w:t>
      </w:r>
      <w:r w:rsidR="00DE042B">
        <w:rPr>
          <w:rFonts w:ascii="Times New Roman" w:hAnsi="Times New Roman" w:cs="Times New Roman"/>
          <w:sz w:val="24"/>
          <w:szCs w:val="24"/>
        </w:rPr>
        <w:t>.</w:t>
      </w:r>
      <w:r w:rsidR="00020559">
        <w:rPr>
          <w:rFonts w:ascii="Times New Roman" w:hAnsi="Times New Roman" w:cs="Times New Roman"/>
          <w:sz w:val="24"/>
          <w:szCs w:val="24"/>
        </w:rPr>
        <w:t xml:space="preserve"> </w:t>
      </w:r>
      <w:r w:rsidR="00DE042B">
        <w:rPr>
          <w:rFonts w:ascii="Times New Roman" w:hAnsi="Times New Roman" w:cs="Times New Roman"/>
          <w:sz w:val="24"/>
          <w:szCs w:val="24"/>
        </w:rPr>
        <w:t>Obecné zastupiteľstvo v súlade s § 4 ods. 5 zák. č. 583/2004 Z.</w:t>
      </w:r>
      <w:r w:rsidR="004832A5">
        <w:rPr>
          <w:rFonts w:ascii="Times New Roman" w:hAnsi="Times New Roman" w:cs="Times New Roman"/>
          <w:sz w:val="24"/>
          <w:szCs w:val="24"/>
        </w:rPr>
        <w:t xml:space="preserve"> </w:t>
      </w:r>
      <w:r w:rsidR="00DE042B">
        <w:rPr>
          <w:rFonts w:ascii="Times New Roman" w:hAnsi="Times New Roman" w:cs="Times New Roman"/>
          <w:sz w:val="24"/>
          <w:szCs w:val="24"/>
        </w:rPr>
        <w:t xml:space="preserve">z. rozhodlo o neuplatňovaní programu obce pri tvorbe rozpočtu. </w:t>
      </w:r>
      <w:r w:rsidR="006A7389" w:rsidRPr="00EA0A68">
        <w:rPr>
          <w:rFonts w:ascii="Times New Roman" w:eastAsiaTheme="minorHAnsi" w:hAnsi="Times New Roman" w:cs="Times New Roman"/>
          <w:sz w:val="24"/>
          <w:szCs w:val="24"/>
          <w:lang w:eastAsia="en-US"/>
        </w:rPr>
        <w:t>V súlade s § 16 ods. 1 a 2 zákona č. 583/2004 Z.</w:t>
      </w:r>
      <w:r w:rsidR="00483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A7389" w:rsidRPr="00EA0A68">
        <w:rPr>
          <w:rFonts w:ascii="Times New Roman" w:eastAsiaTheme="minorHAnsi" w:hAnsi="Times New Roman" w:cs="Times New Roman"/>
          <w:sz w:val="24"/>
          <w:szCs w:val="24"/>
          <w:lang w:eastAsia="en-US"/>
        </w:rPr>
        <w:t>z., obec spracovala návrh záverečného</w:t>
      </w:r>
      <w:r w:rsidR="00F3798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A7389" w:rsidRPr="00EA0A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účtu, v ktorom </w:t>
      </w:r>
      <w:r w:rsidR="006A7389" w:rsidRPr="00EA0A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usporiadala finančné vzťahy k štátnemu rozpočtu, štátnym</w:t>
      </w:r>
      <w:r w:rsidR="00F3798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A7389" w:rsidRPr="00EA0A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fondom, rozpočt</w:t>
      </w:r>
      <w:r w:rsidR="001E1C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u</w:t>
      </w:r>
      <w:r w:rsidR="006A7389" w:rsidRPr="00EA0A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 VÚC</w:t>
      </w:r>
      <w:r w:rsidR="006A7389" w:rsidRPr="00EA0A6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2ADEACE" w14:textId="47471C01" w:rsidR="009D52AB" w:rsidRPr="00EA0A68" w:rsidRDefault="009D52AB" w:rsidP="009D52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Súčasťou záverečného účtu obce je skutočné </w:t>
      </w:r>
      <w:r w:rsidR="00CA1E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plnenie a </w:t>
      </w:r>
      <w:r w:rsidRPr="00EA0A68">
        <w:rPr>
          <w:rFonts w:ascii="Times New Roman" w:eastAsiaTheme="minorHAnsi" w:hAnsi="Times New Roman" w:cs="Times New Roman"/>
          <w:sz w:val="24"/>
          <w:szCs w:val="24"/>
          <w:lang w:eastAsia="en-US"/>
        </w:rPr>
        <w:t>čerpanie rozpočtu obce</w:t>
      </w:r>
      <w:r w:rsidR="008B56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Dúbrava</w:t>
      </w:r>
      <w:r w:rsidR="00174A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 rozpočtové obdobie roku 20</w:t>
      </w:r>
      <w:r w:rsidR="007E537B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9C10C4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EA0A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1515CB3D" w14:textId="60C751F0" w:rsidR="009D52AB" w:rsidRDefault="009D52AB" w:rsidP="009D5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O</w:t>
      </w:r>
      <w:r w:rsidRPr="00EA0A68">
        <w:rPr>
          <w:rFonts w:ascii="Times New Roman" w:hAnsi="Times New Roman" w:cs="Times New Roman"/>
          <w:sz w:val="24"/>
          <w:szCs w:val="24"/>
        </w:rPr>
        <w:t>bec nemá zriadenú žiadnu rozpočtovú ani príspevkovú organizáciu</w:t>
      </w:r>
      <w:r w:rsidR="00B77D12">
        <w:rPr>
          <w:rFonts w:ascii="Times New Roman" w:hAnsi="Times New Roman" w:cs="Times New Roman"/>
          <w:sz w:val="24"/>
          <w:szCs w:val="24"/>
        </w:rPr>
        <w:t xml:space="preserve"> </w:t>
      </w:r>
      <w:r w:rsidRPr="00EA0A68">
        <w:rPr>
          <w:rFonts w:ascii="Times New Roman" w:hAnsi="Times New Roman" w:cs="Times New Roman"/>
          <w:sz w:val="24"/>
          <w:szCs w:val="24"/>
        </w:rPr>
        <w:t>a vykonáva po</w:t>
      </w:r>
      <w:r>
        <w:rPr>
          <w:rFonts w:ascii="Times New Roman" w:hAnsi="Times New Roman" w:cs="Times New Roman"/>
          <w:sz w:val="24"/>
          <w:szCs w:val="24"/>
        </w:rPr>
        <w:t>dnikateľskú činnosť.</w:t>
      </w:r>
    </w:p>
    <w:p w14:paraId="002293F1" w14:textId="747975FF" w:rsidR="00EA0A68" w:rsidRPr="00EA0A68" w:rsidRDefault="00EA0A68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 w:rsidRPr="00EA0A68">
        <w:rPr>
          <w:rFonts w:ascii="Times New Roman" w:hAnsi="Times New Roman" w:cs="Times New Roman"/>
          <w:sz w:val="24"/>
          <w:szCs w:val="24"/>
        </w:rPr>
        <w:t xml:space="preserve">       Podľa §16 ods. 3 zák. 583/2004 Z. z. je obec povinná dať si overiť účtovnú závierku podľa osobitného predpisu. </w:t>
      </w:r>
      <w:r w:rsidR="00192683">
        <w:rPr>
          <w:rFonts w:ascii="Times New Roman" w:hAnsi="Times New Roman" w:cs="Times New Roman"/>
          <w:sz w:val="24"/>
          <w:szCs w:val="24"/>
        </w:rPr>
        <w:t>Pri overovaní účtovnej závierky audítor overuje tiež dodržiavania povinností obce pri zostavení rozpočtu, dodržanie lehoty prerokovania záverečného účtu v</w:t>
      </w:r>
      <w:r w:rsidR="0089127A">
        <w:rPr>
          <w:rFonts w:ascii="Times New Roman" w:hAnsi="Times New Roman" w:cs="Times New Roman"/>
          <w:sz w:val="24"/>
          <w:szCs w:val="24"/>
        </w:rPr>
        <w:t> </w:t>
      </w:r>
      <w:r w:rsidR="00192683">
        <w:rPr>
          <w:rFonts w:ascii="Times New Roman" w:hAnsi="Times New Roman" w:cs="Times New Roman"/>
          <w:sz w:val="24"/>
          <w:szCs w:val="24"/>
        </w:rPr>
        <w:t>OZ</w:t>
      </w:r>
      <w:r w:rsidR="0089127A">
        <w:rPr>
          <w:rFonts w:ascii="Times New Roman" w:hAnsi="Times New Roman" w:cs="Times New Roman"/>
          <w:sz w:val="24"/>
          <w:szCs w:val="24"/>
        </w:rPr>
        <w:t xml:space="preserve"> a</w:t>
      </w:r>
      <w:r w:rsidR="00F35CD7">
        <w:rPr>
          <w:rFonts w:ascii="Times New Roman" w:hAnsi="Times New Roman" w:cs="Times New Roman"/>
          <w:sz w:val="24"/>
          <w:szCs w:val="24"/>
        </w:rPr>
        <w:t xml:space="preserve"> </w:t>
      </w:r>
      <w:r w:rsidR="007117D7">
        <w:rPr>
          <w:rFonts w:ascii="Times New Roman" w:hAnsi="Times New Roman" w:cs="Times New Roman"/>
          <w:sz w:val="24"/>
          <w:szCs w:val="24"/>
        </w:rPr>
        <w:t>dodržiavanie pravidiel používania náhradných zdrojov financovania</w:t>
      </w:r>
      <w:r w:rsidR="0089127A">
        <w:rPr>
          <w:rFonts w:ascii="Times New Roman" w:hAnsi="Times New Roman" w:cs="Times New Roman"/>
          <w:sz w:val="24"/>
          <w:szCs w:val="24"/>
        </w:rPr>
        <w:t>.</w:t>
      </w:r>
      <w:r w:rsidRPr="00EA0A68">
        <w:rPr>
          <w:rFonts w:ascii="Times New Roman" w:hAnsi="Times New Roman" w:cs="Times New Roman"/>
          <w:sz w:val="24"/>
          <w:szCs w:val="24"/>
        </w:rPr>
        <w:t xml:space="preserve"> Skutočnosť, či si obec splnila </w:t>
      </w:r>
      <w:r w:rsidR="00A539D6">
        <w:rPr>
          <w:rFonts w:ascii="Times New Roman" w:hAnsi="Times New Roman" w:cs="Times New Roman"/>
          <w:sz w:val="24"/>
          <w:szCs w:val="24"/>
        </w:rPr>
        <w:t xml:space="preserve">povinnosť dať si overiť účtovnú závierku a rozpočtové hospodárenie </w:t>
      </w:r>
      <w:r w:rsidRPr="00EA0A68">
        <w:rPr>
          <w:rFonts w:ascii="Times New Roman" w:hAnsi="Times New Roman" w:cs="Times New Roman"/>
          <w:sz w:val="24"/>
          <w:szCs w:val="24"/>
        </w:rPr>
        <w:t xml:space="preserve">kontroluje a konštatuje hlavný kontrolór obce. Ku dňu </w:t>
      </w:r>
      <w:r w:rsidR="00174A63">
        <w:rPr>
          <w:rFonts w:ascii="Times New Roman" w:hAnsi="Times New Roman" w:cs="Times New Roman"/>
          <w:sz w:val="24"/>
          <w:szCs w:val="24"/>
        </w:rPr>
        <w:t>vydania</w:t>
      </w:r>
      <w:r w:rsidRPr="00EA0A68">
        <w:rPr>
          <w:rFonts w:ascii="Times New Roman" w:hAnsi="Times New Roman" w:cs="Times New Roman"/>
          <w:sz w:val="24"/>
          <w:szCs w:val="24"/>
        </w:rPr>
        <w:t xml:space="preserve"> tohto odborného stanoviska nebola účtovná závierka obce overená audítorom. Výročná správa účtovnej jednotky musí byť overená audítorom do jedného roka od skončenia účtovného obdobia.</w:t>
      </w:r>
      <w:r w:rsidR="00B009CA">
        <w:rPr>
          <w:rFonts w:ascii="Times New Roman" w:hAnsi="Times New Roman" w:cs="Times New Roman"/>
          <w:sz w:val="24"/>
          <w:szCs w:val="24"/>
        </w:rPr>
        <w:t xml:space="preserve"> Obec dlhodobo ne</w:t>
      </w:r>
      <w:r w:rsidR="00E33E40">
        <w:rPr>
          <w:rFonts w:ascii="Times New Roman" w:hAnsi="Times New Roman" w:cs="Times New Roman"/>
          <w:sz w:val="24"/>
          <w:szCs w:val="24"/>
        </w:rPr>
        <w:t>má účtovnú závierku overenú audítorom a uloženú do registra účtovných závierok.</w:t>
      </w:r>
    </w:p>
    <w:p w14:paraId="6CFFBBBF" w14:textId="7A6A0BA2" w:rsidR="00F70A68" w:rsidRDefault="00EA0A68" w:rsidP="00023EFC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Mechanizmus </w:t>
      </w:r>
      <w:r w:rsidR="00FF30B3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>zostavenia</w:t>
      </w: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záverečného účtu obce </w:t>
      </w:r>
      <w:r w:rsidR="00C53E15">
        <w:rPr>
          <w:rFonts w:ascii="Times New Roman" w:eastAsiaTheme="minorHAnsi" w:hAnsi="Times New Roman" w:cs="Times New Roman"/>
          <w:sz w:val="24"/>
          <w:szCs w:val="24"/>
          <w:lang w:eastAsia="en-US"/>
        </w:rPr>
        <w:t>Dúbrava</w:t>
      </w: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je </w:t>
      </w:r>
      <w:r w:rsidR="00B0662A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>určený</w:t>
      </w: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zákonom č. 583/2004 Z. z.</w:t>
      </w:r>
      <w:r w:rsidR="009F2854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</w:t>
      </w: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ozpočet obce </w:t>
      </w:r>
      <w:r w:rsidR="009F2854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>pre rok 20</w:t>
      </w:r>
      <w:r w:rsidR="00C23A13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D26E0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9F2854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bol zostavený ako </w:t>
      </w:r>
      <w:r w:rsidR="00C53E15">
        <w:rPr>
          <w:rFonts w:ascii="Times New Roman" w:eastAsiaTheme="minorHAnsi" w:hAnsi="Times New Roman" w:cs="Times New Roman"/>
          <w:sz w:val="24"/>
          <w:szCs w:val="24"/>
          <w:lang w:eastAsia="en-US"/>
        </w:rPr>
        <w:t>prebytkový</w:t>
      </w: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28300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Bežný rozpočet obce bol zostavený ako </w:t>
      </w:r>
      <w:r w:rsidR="00DD56F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prebytkový </w:t>
      </w:r>
      <w:r w:rsidR="00404503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>a výsl</w:t>
      </w: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>edok hospodárenia obce za r. 20</w:t>
      </w:r>
      <w:r w:rsidR="00C23A13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1F1AD4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B0662A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04503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>je</w:t>
      </w:r>
      <w:r w:rsidR="00B0662A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47C20">
        <w:rPr>
          <w:rFonts w:ascii="Times New Roman" w:eastAsiaTheme="minorHAnsi" w:hAnsi="Times New Roman" w:cs="Times New Roman"/>
          <w:sz w:val="24"/>
          <w:szCs w:val="24"/>
          <w:lang w:eastAsia="en-US"/>
        </w:rPr>
        <w:t>prebytok</w:t>
      </w:r>
      <w:r w:rsidR="005063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bežného</w:t>
      </w:r>
      <w:r w:rsidR="004674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5035A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rozpočtu </w:t>
      </w: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>vo výške</w:t>
      </w:r>
      <w:r w:rsidR="005063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3427E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F136B0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53427E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136B0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7E1B35">
        <w:rPr>
          <w:rFonts w:ascii="Times New Roman" w:eastAsiaTheme="minorHAnsi" w:hAnsi="Times New Roman" w:cs="Times New Roman"/>
          <w:sz w:val="24"/>
          <w:szCs w:val="24"/>
          <w:lang w:eastAsia="en-US"/>
        </w:rPr>
        <w:t>24</w:t>
      </w:r>
      <w:r w:rsidR="0053427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FC2ED5">
        <w:rPr>
          <w:rFonts w:ascii="Times New Roman" w:eastAsiaTheme="minorHAnsi" w:hAnsi="Times New Roman" w:cs="Times New Roman"/>
          <w:sz w:val="24"/>
          <w:szCs w:val="24"/>
          <w:lang w:eastAsia="en-US"/>
        </w:rPr>
        <w:t>24</w:t>
      </w:r>
      <w:r w:rsidR="0028300C" w:rsidRPr="0028300C">
        <w:rPr>
          <w:rFonts w:ascii="Times New Roman" w:hAnsi="Times New Roman" w:cs="Times New Roman"/>
          <w:sz w:val="24"/>
          <w:szCs w:val="24"/>
        </w:rPr>
        <w:t xml:space="preserve"> </w:t>
      </w: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eur. </w:t>
      </w:r>
      <w:r w:rsidRPr="0028300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Kapitálový rozpočet obce bol zostavený ako </w:t>
      </w:r>
      <w:r w:rsidR="00FC2ED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schodkový</w:t>
      </w: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 výsledok hospodárenia obce za r. 20</w:t>
      </w:r>
      <w:r w:rsidR="003E5DEB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FC2ED5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092F0A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04503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>je</w:t>
      </w:r>
      <w:r w:rsidR="00092F0A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A26FD">
        <w:rPr>
          <w:rFonts w:ascii="Times New Roman" w:eastAsiaTheme="minorHAnsi" w:hAnsi="Times New Roman" w:cs="Times New Roman"/>
          <w:sz w:val="24"/>
          <w:szCs w:val="24"/>
          <w:lang w:eastAsia="en-US"/>
        </w:rPr>
        <w:t>schodok</w:t>
      </w:r>
      <w:r w:rsidR="00920E6D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5035A"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kapitálového rozpočtu </w:t>
      </w: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vo výške </w:t>
      </w:r>
      <w:r w:rsidR="00A21535">
        <w:rPr>
          <w:rFonts w:ascii="Times New Roman" w:eastAsiaTheme="minorHAnsi" w:hAnsi="Times New Roman" w:cs="Times New Roman"/>
          <w:sz w:val="24"/>
          <w:szCs w:val="24"/>
          <w:lang w:eastAsia="en-US"/>
        </w:rPr>
        <w:t>9 131,21</w:t>
      </w:r>
      <w:r w:rsidR="00181957">
        <w:rPr>
          <w:rFonts w:ascii="Times New Roman" w:eastAsia="Times New Roman" w:hAnsi="Times New Roman"/>
          <w:sz w:val="24"/>
          <w:szCs w:val="24"/>
        </w:rPr>
        <w:t xml:space="preserve"> </w:t>
      </w:r>
      <w:r w:rsidRPr="0028300C">
        <w:rPr>
          <w:rFonts w:ascii="Times New Roman" w:eastAsiaTheme="minorHAnsi" w:hAnsi="Times New Roman" w:cs="Times New Roman"/>
          <w:sz w:val="24"/>
          <w:szCs w:val="24"/>
          <w:lang w:eastAsia="en-US"/>
        </w:rPr>
        <w:t>eur.</w:t>
      </w:r>
    </w:p>
    <w:p w14:paraId="419F8B3B" w14:textId="43913969" w:rsidR="00BD2492" w:rsidRPr="00245490" w:rsidRDefault="00476C3B" w:rsidP="00BD249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color w:val="212529"/>
          <w:sz w:val="26"/>
          <w:szCs w:val="26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</w:t>
      </w:r>
      <w:r w:rsidR="00D03B2B" w:rsidRPr="00251C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ríjmové finančné operácie </w:t>
      </w:r>
      <w:r w:rsidR="003805D2">
        <w:rPr>
          <w:rFonts w:ascii="Times New Roman" w:eastAsiaTheme="minorHAnsi" w:hAnsi="Times New Roman" w:cs="Times New Roman"/>
          <w:sz w:val="24"/>
          <w:szCs w:val="24"/>
          <w:lang w:eastAsia="en-US"/>
        </w:rPr>
        <w:t>boli 0,00</w:t>
      </w:r>
      <w:r w:rsidR="00474178">
        <w:rPr>
          <w:rFonts w:ascii="Times New Roman" w:eastAsia="Times New Roman" w:hAnsi="Times New Roman"/>
          <w:sz w:val="24"/>
          <w:szCs w:val="24"/>
        </w:rPr>
        <w:t xml:space="preserve"> </w:t>
      </w:r>
      <w:r w:rsidR="00DB11D9">
        <w:rPr>
          <w:rFonts w:ascii="Times New Roman" w:eastAsiaTheme="minorHAnsi" w:hAnsi="Times New Roman" w:cs="Times New Roman"/>
          <w:sz w:val="24"/>
          <w:szCs w:val="24"/>
          <w:lang w:eastAsia="en-US"/>
        </w:rPr>
        <w:t>eur</w:t>
      </w:r>
      <w:r w:rsidR="007C6B5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C6B53" w:rsidRPr="0013501A">
        <w:rPr>
          <w:rFonts w:ascii="Times New Roman" w:eastAsiaTheme="minorHAnsi" w:hAnsi="Times New Roman" w:cs="Times New Roman"/>
          <w:sz w:val="24"/>
          <w:szCs w:val="24"/>
          <w:lang w:eastAsia="en-US"/>
        </w:rPr>
        <w:t>a </w:t>
      </w:r>
      <w:r w:rsidR="001313F2" w:rsidRPr="001350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výdavkové</w:t>
      </w:r>
      <w:r w:rsidR="00202977" w:rsidRPr="001350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73651" w:rsidRPr="00157777">
        <w:rPr>
          <w:rFonts w:ascii="Times New Roman" w:eastAsia="Times New Roman" w:hAnsi="Times New Roman"/>
          <w:sz w:val="24"/>
          <w:szCs w:val="24"/>
        </w:rPr>
        <w:t xml:space="preserve">11.445,46 </w:t>
      </w:r>
      <w:r w:rsidR="001313F2" w:rsidRPr="00157777">
        <w:rPr>
          <w:rFonts w:ascii="Times New Roman" w:eastAsiaTheme="minorHAnsi" w:hAnsi="Times New Roman" w:cs="Times New Roman"/>
          <w:sz w:val="24"/>
          <w:szCs w:val="24"/>
          <w:lang w:eastAsia="en-US"/>
        </w:rPr>
        <w:t>eur</w:t>
      </w:r>
      <w:r w:rsidR="00CE50E7" w:rsidRPr="0015777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937E46" w:rsidRPr="001577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E50E7" w:rsidRPr="001577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 to </w:t>
      </w:r>
      <w:r w:rsidR="00521FDD" w:rsidRPr="0015777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</w:t>
      </w:r>
      <w:r w:rsidR="00157777" w:rsidRPr="00157777">
        <w:rPr>
          <w:rFonts w:ascii="Times New Roman" w:eastAsiaTheme="minorHAnsi" w:hAnsi="Times New Roman" w:cs="Times New Roman"/>
          <w:sz w:val="24"/>
          <w:szCs w:val="24"/>
          <w:lang w:eastAsia="en-US"/>
        </w:rPr>
        <w:t>sp</w:t>
      </w:r>
      <w:r w:rsidR="00BD2492" w:rsidRPr="00157777">
        <w:rPr>
          <w:rFonts w:ascii="Times New Roman" w:eastAsia="Times New Roman" w:hAnsi="Times New Roman"/>
          <w:color w:val="212529"/>
          <w:sz w:val="26"/>
          <w:szCs w:val="26"/>
        </w:rPr>
        <w:t>látk</w:t>
      </w:r>
      <w:r w:rsidR="00157777" w:rsidRPr="00157777">
        <w:rPr>
          <w:rFonts w:ascii="Times New Roman" w:eastAsia="Times New Roman" w:hAnsi="Times New Roman"/>
          <w:color w:val="212529"/>
          <w:sz w:val="26"/>
          <w:szCs w:val="26"/>
        </w:rPr>
        <w:t>u</w:t>
      </w:r>
      <w:r w:rsidR="00BD2492" w:rsidRPr="00157777">
        <w:rPr>
          <w:rFonts w:ascii="Times New Roman" w:eastAsia="Times New Roman" w:hAnsi="Times New Roman"/>
          <w:color w:val="212529"/>
          <w:sz w:val="26"/>
          <w:szCs w:val="26"/>
        </w:rPr>
        <w:t xml:space="preserve"> istiny </w:t>
      </w:r>
      <w:r w:rsidR="00BD2492" w:rsidRPr="00157777">
        <w:rPr>
          <w:rFonts w:ascii="Times New Roman" w:eastAsia="Times New Roman" w:hAnsi="Times New Roman"/>
          <w:b/>
          <w:color w:val="212529"/>
          <w:sz w:val="26"/>
          <w:szCs w:val="26"/>
        </w:rPr>
        <w:t>5.540,54 €,</w:t>
      </w:r>
      <w:r w:rsidR="00157777" w:rsidRPr="00157777">
        <w:rPr>
          <w:rFonts w:ascii="Times New Roman" w:eastAsia="Times New Roman" w:hAnsi="Times New Roman"/>
          <w:b/>
          <w:color w:val="212529"/>
          <w:sz w:val="26"/>
          <w:szCs w:val="26"/>
        </w:rPr>
        <w:t xml:space="preserve"> </w:t>
      </w:r>
      <w:r w:rsidR="00BD2492" w:rsidRPr="00157777">
        <w:rPr>
          <w:rFonts w:ascii="Times New Roman" w:eastAsia="Times New Roman" w:hAnsi="Times New Roman"/>
          <w:color w:val="212529"/>
          <w:sz w:val="26"/>
          <w:szCs w:val="26"/>
        </w:rPr>
        <w:t>úroky</w:t>
      </w:r>
      <w:r w:rsidR="00BD2492" w:rsidRPr="00157777">
        <w:rPr>
          <w:rFonts w:ascii="Times New Roman" w:eastAsia="Times New Roman" w:hAnsi="Times New Roman"/>
          <w:b/>
          <w:color w:val="212529"/>
          <w:sz w:val="26"/>
          <w:szCs w:val="26"/>
        </w:rPr>
        <w:t xml:space="preserve"> </w:t>
      </w:r>
      <w:r w:rsidR="00157777" w:rsidRPr="00157777">
        <w:rPr>
          <w:rFonts w:ascii="Times New Roman" w:eastAsia="Times New Roman" w:hAnsi="Times New Roman"/>
          <w:b/>
          <w:color w:val="212529"/>
          <w:sz w:val="26"/>
          <w:szCs w:val="26"/>
        </w:rPr>
        <w:t>vo výške</w:t>
      </w:r>
      <w:r w:rsidR="00BD2492" w:rsidRPr="00157777">
        <w:rPr>
          <w:rFonts w:ascii="Times New Roman" w:eastAsia="Times New Roman" w:hAnsi="Times New Roman"/>
          <w:b/>
          <w:color w:val="212529"/>
          <w:sz w:val="26"/>
          <w:szCs w:val="26"/>
        </w:rPr>
        <w:t xml:space="preserve"> 5.904,92 €.</w:t>
      </w:r>
      <w:r w:rsidR="00157777" w:rsidRPr="00157777">
        <w:rPr>
          <w:rFonts w:ascii="Times New Roman" w:eastAsia="Times New Roman" w:hAnsi="Times New Roman"/>
          <w:b/>
          <w:color w:val="212529"/>
          <w:sz w:val="26"/>
          <w:szCs w:val="26"/>
        </w:rPr>
        <w:t xml:space="preserve"> Úroky z omeškania sú bežným výdavkom nie výdavkovou finančnou operáciou.</w:t>
      </w:r>
    </w:p>
    <w:p w14:paraId="6066EFB2" w14:textId="001B0139" w:rsidR="00441360" w:rsidRPr="00BA749B" w:rsidRDefault="00D03B2B" w:rsidP="00BA749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Cs/>
          <w:color w:val="212529"/>
          <w:sz w:val="26"/>
          <w:szCs w:val="26"/>
        </w:rPr>
      </w:pPr>
      <w:r w:rsidRPr="001350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</w:t>
      </w:r>
      <w:r w:rsidR="00404503" w:rsidRPr="001350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elkový </w:t>
      </w:r>
      <w:r w:rsidRPr="0013501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výsledok hospodárenia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obce za rok 20</w:t>
      </w:r>
      <w:r w:rsidR="00E1140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</w:t>
      </w:r>
      <w:r w:rsidR="0067365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476C3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po zapojení finančných operácií </w:t>
      </w:r>
      <w:r w:rsidR="00023EF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a vylúčení z prebytku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je </w:t>
      </w:r>
      <w:r w:rsidR="006A688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tak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vo výške</w:t>
      </w:r>
      <w:r w:rsidR="0035035A" w:rsidRPr="00E1140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5E4BD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</w:t>
      </w:r>
      <w:r w:rsidR="001779C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08733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225,</w:t>
      </w:r>
      <w:r w:rsidR="002627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29</w:t>
      </w:r>
      <w:r w:rsidR="007C6B53" w:rsidRPr="005E4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3EFC" w:rsidRPr="005E4B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eur.</w:t>
      </w:r>
      <w:r w:rsidR="005E4B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5E4BDF" w:rsidRPr="00551F4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Obec </w:t>
      </w:r>
      <w:r w:rsidR="000C0071" w:rsidRPr="00551F4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vedie </w:t>
      </w:r>
      <w:r w:rsidR="00057351" w:rsidRPr="00551F4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príjmy a výdavky </w:t>
      </w:r>
      <w:r w:rsidR="00441360" w:rsidRPr="00551F4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z podnikateľskej činnosti </w:t>
      </w:r>
      <w:r w:rsidR="00057351" w:rsidRPr="00551F4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na samostatnom účte a zapája ich len pri plnení</w:t>
      </w:r>
      <w:r w:rsidR="00346C5A" w:rsidRPr="00551F4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494789" w:rsidRPr="00551F4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hospodársky výsledok za rok 2024 je vo v</w:t>
      </w:r>
      <w:r w:rsidR="00441360" w:rsidRPr="00551F4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ýške </w:t>
      </w:r>
      <w:r w:rsidR="00441360" w:rsidRPr="00551F4F">
        <w:rPr>
          <w:rFonts w:ascii="Times New Roman" w:eastAsia="Times New Roman" w:hAnsi="Times New Roman"/>
          <w:bCs/>
          <w:color w:val="212529"/>
          <w:sz w:val="26"/>
          <w:szCs w:val="26"/>
        </w:rPr>
        <w:t>1.341,06</w:t>
      </w:r>
      <w:r w:rsidR="00BA749B" w:rsidRPr="00551F4F">
        <w:rPr>
          <w:rFonts w:ascii="Times New Roman" w:eastAsia="Times New Roman" w:hAnsi="Times New Roman"/>
          <w:bCs/>
          <w:color w:val="212529"/>
          <w:sz w:val="26"/>
          <w:szCs w:val="26"/>
        </w:rPr>
        <w:t xml:space="preserve"> eur.</w:t>
      </w:r>
    </w:p>
    <w:p w14:paraId="32274BDF" w14:textId="23428CD1" w:rsidR="007953AD" w:rsidRPr="00EA0A68" w:rsidRDefault="00F04432" w:rsidP="009D5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Obec je povinná v zmysle § 15 ods. 4 zák. č. 583/2004 Z. z. doplniť rezervný fond minimálne vo výške 10 % prebytku rozpočtu obce.   </w:t>
      </w:r>
    </w:p>
    <w:p w14:paraId="28967CA9" w14:textId="77777777" w:rsidR="00EA0A68" w:rsidRPr="00EA0A68" w:rsidRDefault="00EA0A68" w:rsidP="00EA0A68">
      <w:pPr>
        <w:numPr>
          <w:ilvl w:val="0"/>
          <w:numId w:val="2"/>
        </w:numPr>
        <w:spacing w:after="0" w:line="240" w:lineRule="auto"/>
        <w:jc w:val="both"/>
        <w:rPr>
          <w:rStyle w:val="Vrazn"/>
          <w:rFonts w:ascii="Times New Roman" w:hAnsi="Times New Roman" w:cs="Times New Roman"/>
          <w:sz w:val="24"/>
          <w:szCs w:val="24"/>
        </w:rPr>
      </w:pPr>
      <w:r w:rsidRPr="00EA0A68">
        <w:rPr>
          <w:rStyle w:val="Vrazn"/>
          <w:rFonts w:ascii="Times New Roman" w:hAnsi="Times New Roman" w:cs="Times New Roman"/>
          <w:sz w:val="24"/>
          <w:szCs w:val="24"/>
        </w:rPr>
        <w:t xml:space="preserve">Analýza záverečného účtu </w:t>
      </w:r>
    </w:p>
    <w:p w14:paraId="30392049" w14:textId="77777777" w:rsidR="00EA0A68" w:rsidRPr="00EA0A68" w:rsidRDefault="00EA0A68" w:rsidP="00EA0A6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A68">
        <w:rPr>
          <w:rFonts w:ascii="Times New Roman" w:hAnsi="Times New Roman" w:cs="Times New Roman"/>
          <w:sz w:val="24"/>
          <w:szCs w:val="24"/>
        </w:rPr>
        <w:t>Analýza príjmov</w:t>
      </w:r>
    </w:p>
    <w:p w14:paraId="1A984F89" w14:textId="6D681F54" w:rsidR="00EA0A68" w:rsidRPr="00EA0A68" w:rsidRDefault="00EA0A68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 w:rsidRPr="00EA0A68">
        <w:rPr>
          <w:rFonts w:ascii="Times New Roman" w:hAnsi="Times New Roman" w:cs="Times New Roman"/>
          <w:sz w:val="24"/>
          <w:szCs w:val="24"/>
        </w:rPr>
        <w:t xml:space="preserve">     Plánované  príjmy sa uplynulý rok naplnili na  </w:t>
      </w:r>
      <w:r w:rsidR="002D093D">
        <w:rPr>
          <w:rFonts w:ascii="Times New Roman" w:hAnsi="Times New Roman" w:cs="Times New Roman"/>
          <w:sz w:val="24"/>
          <w:szCs w:val="24"/>
        </w:rPr>
        <w:t>1</w:t>
      </w:r>
      <w:r w:rsidR="00D53CAA">
        <w:rPr>
          <w:rFonts w:ascii="Times New Roman" w:hAnsi="Times New Roman" w:cs="Times New Roman"/>
          <w:sz w:val="24"/>
          <w:szCs w:val="24"/>
        </w:rPr>
        <w:t>0</w:t>
      </w:r>
      <w:r w:rsidR="00A64E87">
        <w:rPr>
          <w:rFonts w:ascii="Times New Roman" w:hAnsi="Times New Roman" w:cs="Times New Roman"/>
          <w:sz w:val="24"/>
          <w:szCs w:val="24"/>
        </w:rPr>
        <w:t>0</w:t>
      </w:r>
      <w:r w:rsidR="00B91226">
        <w:rPr>
          <w:rFonts w:ascii="Times New Roman" w:hAnsi="Times New Roman" w:cs="Times New Roman"/>
          <w:sz w:val="24"/>
          <w:szCs w:val="24"/>
        </w:rPr>
        <w:t>,</w:t>
      </w:r>
      <w:r w:rsidR="00A64E87">
        <w:rPr>
          <w:rFonts w:ascii="Times New Roman" w:hAnsi="Times New Roman" w:cs="Times New Roman"/>
          <w:sz w:val="24"/>
          <w:szCs w:val="24"/>
        </w:rPr>
        <w:t>14</w:t>
      </w:r>
      <w:r w:rsidRPr="00EA0A68">
        <w:rPr>
          <w:rFonts w:ascii="Times New Roman" w:hAnsi="Times New Roman" w:cs="Times New Roman"/>
          <w:sz w:val="24"/>
          <w:szCs w:val="24"/>
        </w:rPr>
        <w:t xml:space="preserve"> %, na čom sa podieľali predovšetkým naplnené </w:t>
      </w:r>
      <w:r w:rsidR="002D093D">
        <w:rPr>
          <w:rFonts w:ascii="Times New Roman" w:hAnsi="Times New Roman" w:cs="Times New Roman"/>
          <w:sz w:val="24"/>
          <w:szCs w:val="24"/>
        </w:rPr>
        <w:t>daňové</w:t>
      </w:r>
      <w:r w:rsidRPr="00EA0A68">
        <w:rPr>
          <w:rFonts w:ascii="Times New Roman" w:hAnsi="Times New Roman" w:cs="Times New Roman"/>
          <w:sz w:val="24"/>
          <w:szCs w:val="24"/>
        </w:rPr>
        <w:t xml:space="preserve"> príjmy (</w:t>
      </w:r>
      <w:r w:rsidR="00115F7E">
        <w:rPr>
          <w:rFonts w:ascii="Times New Roman" w:hAnsi="Times New Roman" w:cs="Times New Roman"/>
          <w:sz w:val="24"/>
          <w:szCs w:val="24"/>
        </w:rPr>
        <w:t>99,60</w:t>
      </w:r>
      <w:r w:rsidRPr="00EA0A68">
        <w:rPr>
          <w:rFonts w:ascii="Times New Roman" w:hAnsi="Times New Roman" w:cs="Times New Roman"/>
          <w:sz w:val="24"/>
          <w:szCs w:val="24"/>
        </w:rPr>
        <w:t>%)</w:t>
      </w:r>
      <w:r w:rsidR="007A3E3C">
        <w:rPr>
          <w:rFonts w:ascii="Times New Roman" w:hAnsi="Times New Roman" w:cs="Times New Roman"/>
          <w:sz w:val="24"/>
          <w:szCs w:val="24"/>
        </w:rPr>
        <w:t xml:space="preserve">. </w:t>
      </w:r>
      <w:r w:rsidRPr="00EA0A68">
        <w:rPr>
          <w:rFonts w:ascii="Times New Roman" w:hAnsi="Times New Roman" w:cs="Times New Roman"/>
          <w:sz w:val="24"/>
          <w:szCs w:val="24"/>
        </w:rPr>
        <w:t xml:space="preserve"> Záverečný účet</w:t>
      </w:r>
      <w:r w:rsidR="00A64E87">
        <w:rPr>
          <w:rFonts w:ascii="Times New Roman" w:hAnsi="Times New Roman" w:cs="Times New Roman"/>
          <w:sz w:val="24"/>
          <w:szCs w:val="24"/>
        </w:rPr>
        <w:t xml:space="preserve"> </w:t>
      </w:r>
      <w:r w:rsidR="00D22926">
        <w:rPr>
          <w:rFonts w:ascii="Times New Roman" w:hAnsi="Times New Roman" w:cs="Times New Roman"/>
          <w:sz w:val="24"/>
          <w:szCs w:val="24"/>
        </w:rPr>
        <w:t xml:space="preserve">potvrdil </w:t>
      </w:r>
      <w:r w:rsidR="00EA51C3">
        <w:rPr>
          <w:rFonts w:ascii="Times New Roman" w:hAnsi="Times New Roman" w:cs="Times New Roman"/>
          <w:sz w:val="24"/>
          <w:szCs w:val="24"/>
        </w:rPr>
        <w:t>primeraný odhad</w:t>
      </w:r>
      <w:r w:rsidRPr="00EA0A68">
        <w:rPr>
          <w:rFonts w:ascii="Times New Roman" w:hAnsi="Times New Roman" w:cs="Times New Roman"/>
          <w:sz w:val="24"/>
          <w:szCs w:val="24"/>
        </w:rPr>
        <w:t xml:space="preserve"> výnosu z dane z príjmov poukázaných samospráve. Je potrebné vyzdvihnúť plnenie rozpočtu na strane bežných príjmov z miestnych daní a skutočnosť, že obec nie je nútená vynakladať finančné prostriedky na ich vymáhanie.</w:t>
      </w:r>
    </w:p>
    <w:p w14:paraId="60300B64" w14:textId="77777777" w:rsidR="00EA0A68" w:rsidRPr="00EA0A68" w:rsidRDefault="00EA0A68" w:rsidP="00EA0A6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A68">
        <w:rPr>
          <w:rFonts w:ascii="Times New Roman" w:hAnsi="Times New Roman" w:cs="Times New Roman"/>
          <w:sz w:val="24"/>
          <w:szCs w:val="24"/>
        </w:rPr>
        <w:t>Analýza výdavkov</w:t>
      </w:r>
    </w:p>
    <w:p w14:paraId="036AA2F0" w14:textId="77777777" w:rsidR="00315192" w:rsidRDefault="00EA0A68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 w:rsidRPr="00EA0A68">
        <w:rPr>
          <w:rFonts w:ascii="Times New Roman" w:hAnsi="Times New Roman" w:cs="Times New Roman"/>
          <w:sz w:val="24"/>
          <w:szCs w:val="24"/>
        </w:rPr>
        <w:t xml:space="preserve">           Skutočné výdavky sa približne pohybovali na úrovni skutočných príjmov. Rozpočtované kapitálové výdavky </w:t>
      </w:r>
      <w:r w:rsidR="001C3A57">
        <w:rPr>
          <w:rFonts w:ascii="Times New Roman" w:hAnsi="Times New Roman" w:cs="Times New Roman"/>
          <w:sz w:val="24"/>
          <w:szCs w:val="24"/>
        </w:rPr>
        <w:t xml:space="preserve">boli vyčerpané na </w:t>
      </w:r>
      <w:r w:rsidR="005E536E">
        <w:rPr>
          <w:rFonts w:ascii="Times New Roman" w:hAnsi="Times New Roman" w:cs="Times New Roman"/>
          <w:sz w:val="24"/>
          <w:szCs w:val="24"/>
        </w:rPr>
        <w:t>1</w:t>
      </w:r>
      <w:r w:rsidR="0092289D">
        <w:rPr>
          <w:rFonts w:ascii="Times New Roman" w:hAnsi="Times New Roman" w:cs="Times New Roman"/>
          <w:sz w:val="24"/>
          <w:szCs w:val="24"/>
        </w:rPr>
        <w:t>2</w:t>
      </w:r>
      <w:r w:rsidR="00DE246F">
        <w:rPr>
          <w:rFonts w:ascii="Times New Roman" w:hAnsi="Times New Roman" w:cs="Times New Roman"/>
          <w:sz w:val="24"/>
          <w:szCs w:val="24"/>
        </w:rPr>
        <w:t xml:space="preserve">4,62 </w:t>
      </w:r>
      <w:r w:rsidR="001C3A57">
        <w:rPr>
          <w:rFonts w:ascii="Times New Roman" w:hAnsi="Times New Roman" w:cs="Times New Roman"/>
          <w:sz w:val="24"/>
          <w:szCs w:val="24"/>
        </w:rPr>
        <w:t>%</w:t>
      </w:r>
      <w:r w:rsidR="0025396E">
        <w:rPr>
          <w:rFonts w:ascii="Times New Roman" w:hAnsi="Times New Roman" w:cs="Times New Roman"/>
          <w:sz w:val="24"/>
          <w:szCs w:val="24"/>
        </w:rPr>
        <w:t xml:space="preserve"> </w:t>
      </w:r>
      <w:r w:rsidR="0025396E" w:rsidRPr="008328DB">
        <w:rPr>
          <w:rFonts w:ascii="Times New Roman" w:hAnsi="Times New Roman" w:cs="Times New Roman"/>
          <w:sz w:val="24"/>
          <w:szCs w:val="24"/>
        </w:rPr>
        <w:t xml:space="preserve">a boli použité na </w:t>
      </w:r>
      <w:r w:rsidR="000C1539">
        <w:rPr>
          <w:rFonts w:ascii="Times New Roman" w:hAnsi="Times New Roman" w:cs="Times New Roman"/>
          <w:sz w:val="24"/>
          <w:szCs w:val="24"/>
        </w:rPr>
        <w:t>výmenu vchodových dverí</w:t>
      </w:r>
      <w:r w:rsidR="00A113E6">
        <w:rPr>
          <w:rFonts w:ascii="Times New Roman" w:hAnsi="Times New Roman" w:cs="Times New Roman"/>
          <w:sz w:val="24"/>
          <w:szCs w:val="24"/>
        </w:rPr>
        <w:t xml:space="preserve"> a </w:t>
      </w:r>
      <w:r w:rsidR="000C1539">
        <w:rPr>
          <w:rFonts w:ascii="Times New Roman" w:hAnsi="Times New Roman" w:cs="Times New Roman"/>
          <w:sz w:val="24"/>
          <w:szCs w:val="24"/>
        </w:rPr>
        <w:t xml:space="preserve"> vypracovanie projektových dokumentácií</w:t>
      </w:r>
      <w:r w:rsidR="00A113E6">
        <w:rPr>
          <w:rFonts w:ascii="Times New Roman" w:hAnsi="Times New Roman" w:cs="Times New Roman"/>
          <w:sz w:val="24"/>
          <w:szCs w:val="24"/>
        </w:rPr>
        <w:t>. Oprava miestnej komunikácie</w:t>
      </w:r>
      <w:r w:rsidR="000C1539">
        <w:rPr>
          <w:rFonts w:ascii="Times New Roman" w:hAnsi="Times New Roman" w:cs="Times New Roman"/>
          <w:sz w:val="24"/>
          <w:szCs w:val="24"/>
        </w:rPr>
        <w:t xml:space="preserve">  </w:t>
      </w:r>
      <w:r w:rsidR="00A113E6">
        <w:rPr>
          <w:rFonts w:ascii="Times New Roman" w:hAnsi="Times New Roman" w:cs="Times New Roman"/>
          <w:sz w:val="24"/>
          <w:szCs w:val="24"/>
        </w:rPr>
        <w:t xml:space="preserve">by mala byť bežným výdavkom </w:t>
      </w:r>
      <w:r w:rsidR="00315192">
        <w:rPr>
          <w:rFonts w:ascii="Times New Roman" w:hAnsi="Times New Roman" w:cs="Times New Roman"/>
          <w:sz w:val="24"/>
          <w:szCs w:val="24"/>
        </w:rPr>
        <w:t xml:space="preserve">vo výške 1680 eur </w:t>
      </w:r>
      <w:r w:rsidR="00A113E6">
        <w:rPr>
          <w:rFonts w:ascii="Times New Roman" w:hAnsi="Times New Roman" w:cs="Times New Roman"/>
          <w:sz w:val="24"/>
          <w:szCs w:val="24"/>
        </w:rPr>
        <w:t xml:space="preserve">a tiež </w:t>
      </w:r>
      <w:r w:rsidR="00926E70">
        <w:rPr>
          <w:rFonts w:ascii="Times New Roman" w:hAnsi="Times New Roman" w:cs="Times New Roman"/>
          <w:sz w:val="24"/>
          <w:szCs w:val="24"/>
        </w:rPr>
        <w:t xml:space="preserve">výdavky na spracovanie žiadosti o dotáciu vo výške </w:t>
      </w:r>
      <w:r w:rsidR="00315192">
        <w:rPr>
          <w:rFonts w:ascii="Times New Roman" w:hAnsi="Times New Roman" w:cs="Times New Roman"/>
          <w:sz w:val="24"/>
          <w:szCs w:val="24"/>
        </w:rPr>
        <w:t>1440 eur na Zberný dvor.</w:t>
      </w:r>
    </w:p>
    <w:p w14:paraId="2E31E641" w14:textId="382AF8DD" w:rsidR="00FA0FF7" w:rsidRDefault="005B1F7F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FA0FF7" w:rsidRPr="00664877">
        <w:rPr>
          <w:rFonts w:ascii="Times New Roman" w:hAnsi="Times New Roman" w:cs="Times New Roman"/>
          <w:sz w:val="24"/>
          <w:szCs w:val="24"/>
        </w:rPr>
        <w:t>verov</w:t>
      </w:r>
      <w:r>
        <w:rPr>
          <w:rFonts w:ascii="Times New Roman" w:hAnsi="Times New Roman" w:cs="Times New Roman"/>
          <w:sz w:val="24"/>
          <w:szCs w:val="24"/>
        </w:rPr>
        <w:t>á</w:t>
      </w:r>
      <w:r w:rsidR="00FA0FF7" w:rsidRPr="00664877">
        <w:rPr>
          <w:rFonts w:ascii="Times New Roman" w:hAnsi="Times New Roman" w:cs="Times New Roman"/>
          <w:sz w:val="24"/>
          <w:szCs w:val="24"/>
        </w:rPr>
        <w:t xml:space="preserve"> zad</w:t>
      </w:r>
      <w:r w:rsidR="009A2731">
        <w:rPr>
          <w:rFonts w:ascii="Times New Roman" w:hAnsi="Times New Roman" w:cs="Times New Roman"/>
          <w:sz w:val="24"/>
          <w:szCs w:val="24"/>
        </w:rPr>
        <w:t>l</w:t>
      </w:r>
      <w:r w:rsidR="00FA0FF7" w:rsidRPr="00664877">
        <w:rPr>
          <w:rFonts w:ascii="Times New Roman" w:hAnsi="Times New Roman" w:cs="Times New Roman"/>
          <w:sz w:val="24"/>
          <w:szCs w:val="24"/>
        </w:rPr>
        <w:t>ženosť obce</w:t>
      </w:r>
      <w:r>
        <w:rPr>
          <w:rFonts w:ascii="Times New Roman" w:hAnsi="Times New Roman" w:cs="Times New Roman"/>
          <w:sz w:val="24"/>
          <w:szCs w:val="24"/>
        </w:rPr>
        <w:t xml:space="preserve"> oproti roku 202</w:t>
      </w:r>
      <w:r w:rsidR="005305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klesla</w:t>
      </w:r>
      <w:r w:rsidR="00FA7367">
        <w:rPr>
          <w:rFonts w:ascii="Times New Roman" w:hAnsi="Times New Roman" w:cs="Times New Roman"/>
          <w:sz w:val="24"/>
          <w:szCs w:val="24"/>
        </w:rPr>
        <w:t xml:space="preserve"> o </w:t>
      </w:r>
      <w:r w:rsidR="00F34677">
        <w:rPr>
          <w:rFonts w:ascii="Times New Roman" w:hAnsi="Times New Roman" w:cs="Times New Roman"/>
          <w:sz w:val="24"/>
          <w:szCs w:val="24"/>
        </w:rPr>
        <w:t>5</w:t>
      </w:r>
      <w:r w:rsidR="00FA7367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A8E">
        <w:rPr>
          <w:rFonts w:ascii="Times New Roman" w:hAnsi="Times New Roman" w:cs="Times New Roman"/>
          <w:sz w:val="24"/>
          <w:szCs w:val="24"/>
        </w:rPr>
        <w:t>a</w:t>
      </w:r>
      <w:r w:rsidR="00F54083" w:rsidRPr="00664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bola</w:t>
      </w:r>
      <w:r w:rsidR="00FA0FF7" w:rsidRPr="00664877">
        <w:rPr>
          <w:rFonts w:ascii="Times New Roman" w:hAnsi="Times New Roman" w:cs="Times New Roman"/>
          <w:sz w:val="24"/>
          <w:szCs w:val="24"/>
        </w:rPr>
        <w:t xml:space="preserve"> k 31.12.20</w:t>
      </w:r>
      <w:r w:rsidR="007C6B53" w:rsidRPr="00664877">
        <w:rPr>
          <w:rFonts w:ascii="Times New Roman" w:hAnsi="Times New Roman" w:cs="Times New Roman"/>
          <w:sz w:val="24"/>
          <w:szCs w:val="24"/>
        </w:rPr>
        <w:t>2</w:t>
      </w:r>
      <w:r w:rsidR="00F34677">
        <w:rPr>
          <w:rFonts w:ascii="Times New Roman" w:hAnsi="Times New Roman" w:cs="Times New Roman"/>
          <w:sz w:val="24"/>
          <w:szCs w:val="24"/>
        </w:rPr>
        <w:t>4</w:t>
      </w:r>
      <w:r w:rsidR="00FA0FF7" w:rsidRPr="00664877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F34677">
        <w:rPr>
          <w:rFonts w:ascii="Times New Roman" w:hAnsi="Times New Roman" w:cs="Times New Roman"/>
          <w:sz w:val="24"/>
          <w:szCs w:val="24"/>
        </w:rPr>
        <w:t>15</w:t>
      </w:r>
      <w:r w:rsidR="00FA7367">
        <w:rPr>
          <w:rFonts w:ascii="Times New Roman" w:hAnsi="Times New Roman" w:cs="Times New Roman"/>
          <w:sz w:val="24"/>
          <w:szCs w:val="24"/>
        </w:rPr>
        <w:t>,23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FF7" w:rsidRPr="00664877">
        <w:rPr>
          <w:rFonts w:ascii="Times New Roman" w:hAnsi="Times New Roman" w:cs="Times New Roman"/>
          <w:sz w:val="24"/>
          <w:szCs w:val="24"/>
        </w:rPr>
        <w:t>%</w:t>
      </w:r>
      <w:r w:rsidR="00B54725" w:rsidRPr="00664877">
        <w:rPr>
          <w:rFonts w:ascii="Times New Roman" w:hAnsi="Times New Roman" w:cs="Times New Roman"/>
          <w:sz w:val="24"/>
          <w:szCs w:val="24"/>
        </w:rPr>
        <w:t xml:space="preserve"> skutočných príjmov predchádzajúceho roka a ročná splátka úveru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99E">
        <w:rPr>
          <w:rFonts w:ascii="Times New Roman" w:hAnsi="Times New Roman" w:cs="Times New Roman"/>
          <w:sz w:val="24"/>
          <w:szCs w:val="24"/>
        </w:rPr>
        <w:t>ostala na úrovni r. 202</w:t>
      </w:r>
      <w:r w:rsidR="00DC5D6A">
        <w:rPr>
          <w:rFonts w:ascii="Times New Roman" w:hAnsi="Times New Roman" w:cs="Times New Roman"/>
          <w:sz w:val="24"/>
          <w:szCs w:val="24"/>
        </w:rPr>
        <w:t>3</w:t>
      </w:r>
      <w:r w:rsidR="00E1299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bola k 31.12.202</w:t>
      </w:r>
      <w:r w:rsidR="00DC5D6A">
        <w:rPr>
          <w:rFonts w:ascii="Times New Roman" w:hAnsi="Times New Roman" w:cs="Times New Roman"/>
          <w:sz w:val="24"/>
          <w:szCs w:val="24"/>
        </w:rPr>
        <w:t>4</w:t>
      </w:r>
      <w:r w:rsidR="00B54725" w:rsidRPr="00664877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883C39">
        <w:rPr>
          <w:rFonts w:ascii="Times New Roman" w:hAnsi="Times New Roman" w:cs="Times New Roman"/>
          <w:sz w:val="24"/>
          <w:szCs w:val="24"/>
        </w:rPr>
        <w:t>5,09</w:t>
      </w:r>
      <w:r w:rsidR="0083085E">
        <w:rPr>
          <w:rFonts w:ascii="Times New Roman" w:hAnsi="Times New Roman" w:cs="Times New Roman"/>
          <w:sz w:val="24"/>
          <w:szCs w:val="24"/>
        </w:rPr>
        <w:t xml:space="preserve"> </w:t>
      </w:r>
      <w:r w:rsidR="00B54725" w:rsidRPr="00664877">
        <w:rPr>
          <w:rFonts w:ascii="Times New Roman" w:hAnsi="Times New Roman" w:cs="Times New Roman"/>
          <w:sz w:val="24"/>
          <w:szCs w:val="24"/>
        </w:rPr>
        <w:t>% skutočných bežných príjmov predchádzajúceho roka</w:t>
      </w:r>
      <w:r w:rsidR="00FA0FF7" w:rsidRPr="00664877">
        <w:rPr>
          <w:rFonts w:ascii="Times New Roman" w:hAnsi="Times New Roman" w:cs="Times New Roman"/>
          <w:sz w:val="24"/>
          <w:szCs w:val="24"/>
        </w:rPr>
        <w:t>. Táto skutočnosť vy</w:t>
      </w:r>
      <w:r w:rsidR="00EA0A68" w:rsidRPr="00664877">
        <w:rPr>
          <w:rFonts w:ascii="Times New Roman" w:hAnsi="Times New Roman" w:cs="Times New Roman"/>
          <w:sz w:val="24"/>
          <w:szCs w:val="24"/>
        </w:rPr>
        <w:t xml:space="preserve">tvára predpoklad na zdroje </w:t>
      </w:r>
      <w:r w:rsidR="00FA0FF7" w:rsidRPr="00664877">
        <w:rPr>
          <w:rFonts w:ascii="Times New Roman" w:hAnsi="Times New Roman" w:cs="Times New Roman"/>
          <w:sz w:val="24"/>
          <w:szCs w:val="24"/>
        </w:rPr>
        <w:t>spolu</w:t>
      </w:r>
      <w:r w:rsidR="00EA0A68" w:rsidRPr="00664877">
        <w:rPr>
          <w:rFonts w:ascii="Times New Roman" w:hAnsi="Times New Roman" w:cs="Times New Roman"/>
          <w:sz w:val="24"/>
          <w:szCs w:val="24"/>
        </w:rPr>
        <w:t xml:space="preserve">financovania </w:t>
      </w:r>
      <w:r w:rsidR="00FA0FF7" w:rsidRPr="00664877">
        <w:rPr>
          <w:rFonts w:ascii="Times New Roman" w:hAnsi="Times New Roman" w:cs="Times New Roman"/>
          <w:sz w:val="24"/>
          <w:szCs w:val="24"/>
        </w:rPr>
        <w:t xml:space="preserve">projektov </w:t>
      </w:r>
      <w:r w:rsidR="00EA0A68" w:rsidRPr="00664877">
        <w:rPr>
          <w:rFonts w:ascii="Times New Roman" w:hAnsi="Times New Roman" w:cs="Times New Roman"/>
          <w:sz w:val="24"/>
          <w:szCs w:val="24"/>
        </w:rPr>
        <w:t>v prípade úspešnosti žiadosti o granty alebo dotácie</w:t>
      </w:r>
      <w:r w:rsidR="00446908" w:rsidRPr="00664877">
        <w:rPr>
          <w:rFonts w:ascii="Times New Roman" w:hAnsi="Times New Roman" w:cs="Times New Roman"/>
          <w:sz w:val="24"/>
          <w:szCs w:val="24"/>
        </w:rPr>
        <w:t xml:space="preserve"> v nasledujúcich obdobiach</w:t>
      </w:r>
      <w:r w:rsidR="004A521E" w:rsidRPr="00664877">
        <w:rPr>
          <w:rFonts w:ascii="Times New Roman" w:hAnsi="Times New Roman" w:cs="Times New Roman"/>
          <w:sz w:val="24"/>
          <w:szCs w:val="24"/>
        </w:rPr>
        <w:t>.</w:t>
      </w:r>
      <w:r w:rsidR="00EA0A68" w:rsidRPr="00EA0A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B06CE" w14:textId="4ED5CF0A" w:rsidR="009E04F7" w:rsidRPr="009808FE" w:rsidRDefault="009E04F7" w:rsidP="009808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b/>
          <w:bCs/>
          <w:color w:val="212529"/>
          <w:sz w:val="26"/>
          <w:szCs w:val="2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Výsledkom hospodárenia podnikateľskej činnosti obce za rok 202</w:t>
      </w:r>
      <w:r w:rsidR="00BD24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9808FE">
        <w:rPr>
          <w:rFonts w:ascii="Times New Roman" w:hAnsi="Times New Roman" w:cs="Times New Roman"/>
          <w:sz w:val="24"/>
          <w:szCs w:val="24"/>
        </w:rPr>
        <w:t>zisk</w:t>
      </w:r>
      <w:r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574AEF" w:rsidRPr="00574AEF">
        <w:rPr>
          <w:rFonts w:ascii="Times New Roman" w:hAnsi="Times New Roman" w:cs="Times New Roman"/>
          <w:b/>
          <w:bCs/>
          <w:sz w:val="24"/>
          <w:szCs w:val="24"/>
        </w:rPr>
        <w:t>2 134,92</w:t>
      </w:r>
      <w:r w:rsidR="00C70CC9">
        <w:rPr>
          <w:rFonts w:ascii="Times New Roman" w:eastAsia="Times New Roman" w:hAnsi="Times New Roman"/>
          <w:b/>
          <w:bCs/>
          <w:color w:val="212529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color w:val="212529"/>
          <w:sz w:val="26"/>
          <w:szCs w:val="26"/>
        </w:rPr>
        <w:t>eur.</w:t>
      </w:r>
    </w:p>
    <w:p w14:paraId="7E20F9B4" w14:textId="77777777" w:rsidR="00EA0A68" w:rsidRPr="00EA0A68" w:rsidRDefault="00511AA4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A0A68" w:rsidRPr="00EA0A68">
        <w:rPr>
          <w:rFonts w:ascii="Times New Roman" w:hAnsi="Times New Roman" w:cs="Times New Roman"/>
          <w:sz w:val="24"/>
          <w:szCs w:val="24"/>
        </w:rPr>
        <w:t xml:space="preserve"> bežných výdavkov sú najväčšou položkou výdavky verejnej správy </w:t>
      </w:r>
      <w:r w:rsidR="009B7527">
        <w:rPr>
          <w:rFonts w:ascii="Times New Roman" w:hAnsi="Times New Roman" w:cs="Times New Roman"/>
          <w:sz w:val="24"/>
          <w:szCs w:val="24"/>
        </w:rPr>
        <w:t xml:space="preserve">výdavky </w:t>
      </w:r>
      <w:r w:rsidR="007A02B9">
        <w:rPr>
          <w:rFonts w:ascii="Times New Roman" w:hAnsi="Times New Roman" w:cs="Times New Roman"/>
          <w:sz w:val="24"/>
          <w:szCs w:val="24"/>
        </w:rPr>
        <w:t>na správu obce a</w:t>
      </w:r>
      <w:r w:rsidR="00EA0A68" w:rsidRPr="00EA0A68">
        <w:rPr>
          <w:rFonts w:ascii="Times New Roman" w:hAnsi="Times New Roman" w:cs="Times New Roman"/>
          <w:sz w:val="24"/>
          <w:szCs w:val="24"/>
        </w:rPr>
        <w:t> na druhom mieste sú</w:t>
      </w:r>
      <w:r w:rsidR="009B7527">
        <w:rPr>
          <w:rFonts w:ascii="Times New Roman" w:hAnsi="Times New Roman" w:cs="Times New Roman"/>
          <w:sz w:val="24"/>
          <w:szCs w:val="24"/>
        </w:rPr>
        <w:t xml:space="preserve"> výdavky </w:t>
      </w:r>
      <w:r w:rsidR="007A02B9">
        <w:rPr>
          <w:rFonts w:ascii="Times New Roman" w:hAnsi="Times New Roman" w:cs="Times New Roman"/>
          <w:sz w:val="24"/>
          <w:szCs w:val="24"/>
        </w:rPr>
        <w:t>na predškolskú výchovu</w:t>
      </w:r>
      <w:r w:rsidR="009B7527">
        <w:rPr>
          <w:rFonts w:ascii="Times New Roman" w:hAnsi="Times New Roman" w:cs="Times New Roman"/>
          <w:sz w:val="24"/>
          <w:szCs w:val="24"/>
        </w:rPr>
        <w:t>,</w:t>
      </w:r>
      <w:r w:rsidR="00EA0A68" w:rsidRPr="00EA0A68">
        <w:rPr>
          <w:rFonts w:ascii="Times New Roman" w:hAnsi="Times New Roman" w:cs="Times New Roman"/>
          <w:sz w:val="24"/>
          <w:szCs w:val="24"/>
        </w:rPr>
        <w:t xml:space="preserve"> čo </w:t>
      </w:r>
      <w:r w:rsidR="009B7527">
        <w:rPr>
          <w:rFonts w:ascii="Times New Roman" w:hAnsi="Times New Roman" w:cs="Times New Roman"/>
          <w:sz w:val="24"/>
          <w:szCs w:val="24"/>
        </w:rPr>
        <w:t xml:space="preserve">je </w:t>
      </w:r>
      <w:r w:rsidR="00EA0A68" w:rsidRPr="00EA0A68">
        <w:rPr>
          <w:rFonts w:ascii="Times New Roman" w:hAnsi="Times New Roman" w:cs="Times New Roman"/>
          <w:sz w:val="24"/>
          <w:szCs w:val="24"/>
        </w:rPr>
        <w:t xml:space="preserve">z pohľadu štruktúry </w:t>
      </w:r>
      <w:r w:rsidR="007C7845">
        <w:rPr>
          <w:rFonts w:ascii="Times New Roman" w:hAnsi="Times New Roman" w:cs="Times New Roman"/>
          <w:sz w:val="24"/>
          <w:szCs w:val="24"/>
        </w:rPr>
        <w:t xml:space="preserve">bežných </w:t>
      </w:r>
      <w:r w:rsidR="00EA0A68" w:rsidRPr="00EA0A68">
        <w:rPr>
          <w:rFonts w:ascii="Times New Roman" w:hAnsi="Times New Roman" w:cs="Times New Roman"/>
          <w:sz w:val="24"/>
          <w:szCs w:val="24"/>
        </w:rPr>
        <w:t xml:space="preserve">výdavkov </w:t>
      </w:r>
      <w:r w:rsidR="002279F7">
        <w:rPr>
          <w:rFonts w:ascii="Times New Roman" w:hAnsi="Times New Roman" w:cs="Times New Roman"/>
          <w:sz w:val="24"/>
          <w:szCs w:val="24"/>
        </w:rPr>
        <w:t>v rozpočtoch obcí bežné.</w:t>
      </w:r>
      <w:r w:rsidR="001427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86BAC" w14:textId="54441BE3" w:rsidR="00446908" w:rsidRPr="00446908" w:rsidRDefault="00446908" w:rsidP="005D401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44690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Hospodárenie obce v r. 20</w:t>
      </w:r>
      <w:r w:rsidR="008A7EC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</w:t>
      </w:r>
      <w:r w:rsidR="00574AE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</w:t>
      </w:r>
      <w:r w:rsidRPr="0044690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hodnotím ako </w:t>
      </w:r>
      <w:r w:rsidR="00E8339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transpare</w:t>
      </w:r>
      <w:r w:rsidR="00C9229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n</w:t>
      </w:r>
      <w:r w:rsidR="00E8339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tné</w:t>
      </w:r>
      <w:r w:rsidR="00C9229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efektívne a zákonné.</w:t>
      </w:r>
    </w:p>
    <w:p w14:paraId="0DE773F0" w14:textId="77777777" w:rsidR="00446908" w:rsidRDefault="00EA0A68" w:rsidP="005D401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A0A6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Návrh záverečného účtu bol spracovaný v členení v zmysle § 16 ods. 5 zákona č.</w:t>
      </w:r>
      <w:r w:rsidR="00CA5FC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EA0A6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583/2004 Z. z. </w:t>
      </w:r>
      <w:r w:rsidRPr="00EA0A68">
        <w:rPr>
          <w:rFonts w:ascii="Times New Roman" w:eastAsiaTheme="minorHAnsi" w:hAnsi="Times New Roman" w:cs="Times New Roman"/>
          <w:sz w:val="24"/>
          <w:szCs w:val="24"/>
          <w:lang w:eastAsia="en-US"/>
        </w:rPr>
        <w:t>o rozpočtových pravidlách územnej samosprávy v platnom znení a obsahuje podľa § 10 ods. 3 ustanovené údaje o plnení rozpočtu. Údaje o plnení rozpočtu boli spracované v zmysle Opatrenia MF SR č. MF/010175/2004-42, ktorým sa ustanovuje druhová, organizačná a ekonomická klasifikácia, ktorá ustanovuje záväzné ukazovatele pri zostavovaní, sledovaní a vyhodnocovaní rozpočtu územnej samosprávy.</w:t>
      </w:r>
    </w:p>
    <w:p w14:paraId="0357787C" w14:textId="77777777" w:rsidR="00446908" w:rsidRDefault="00446908" w:rsidP="005D401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DB5ECA9" w14:textId="074A51B3" w:rsidR="00EA0A68" w:rsidRPr="00EA0A68" w:rsidRDefault="00EA0A68" w:rsidP="005D401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0A6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Záverečný účet </w:t>
      </w:r>
      <w:r w:rsidR="004D549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obce </w:t>
      </w:r>
      <w:r w:rsidR="009A529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Dúbrava</w:t>
      </w:r>
      <w:r w:rsidR="004D549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za rok 20</w:t>
      </w:r>
      <w:r w:rsidR="008A7EC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</w:t>
      </w:r>
      <w:r w:rsidR="00574AE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</w:t>
      </w:r>
      <w:r w:rsidR="00CA5FC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EA0A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 nadväznosti na § 16 ods. 5 zákona a § 10 ods. 3 zák. č. 583/2004 Z. z. </w:t>
      </w:r>
      <w:r w:rsidRPr="00EA0A6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obsahuje </w:t>
      </w:r>
      <w:r w:rsidRPr="00EA0A68">
        <w:rPr>
          <w:rFonts w:ascii="Times New Roman" w:eastAsiaTheme="minorHAnsi" w:hAnsi="Times New Roman" w:cs="Times New Roman"/>
          <w:sz w:val="24"/>
          <w:szCs w:val="24"/>
          <w:lang w:eastAsia="en-US"/>
        </w:rPr>
        <w:t>najmä</w:t>
      </w:r>
      <w:r w:rsidR="007E3C5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tieto kapitoly</w:t>
      </w:r>
      <w:r w:rsidRPr="00EA0A68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5744F166" w14:textId="77777777" w:rsidR="00EA0A68" w:rsidRPr="001F1035" w:rsidRDefault="00EA0A68" w:rsidP="005D401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>1. údaje o plnení rozpočtu v členení na bežný, kapitálový rozpočet a finančné operácie</w:t>
      </w:r>
    </w:p>
    <w:p w14:paraId="0AEDC660" w14:textId="77777777" w:rsidR="00EA0A68" w:rsidRPr="001F1035" w:rsidRDefault="00EA0A68" w:rsidP="005D401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>2. bilanciu aktív a pasív</w:t>
      </w:r>
    </w:p>
    <w:p w14:paraId="5EE00F10" w14:textId="77777777" w:rsidR="00EA0A68" w:rsidRPr="001F1035" w:rsidRDefault="00EA0A68" w:rsidP="005D401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>3. prehľad o stave a vývoji dlhu</w:t>
      </w:r>
    </w:p>
    <w:p w14:paraId="54AECFDF" w14:textId="77777777" w:rsidR="001F1035" w:rsidRPr="001F1035" w:rsidRDefault="00EA0A68" w:rsidP="001F103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>4. prehľad o poskytnutých dotáciách podľa jednotlivých príjemcov</w:t>
      </w:r>
    </w:p>
    <w:p w14:paraId="51698FE7" w14:textId="77777777" w:rsidR="001F1035" w:rsidRPr="001F1035" w:rsidRDefault="001F1035" w:rsidP="001F10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r w:rsidR="006A1547">
        <w:rPr>
          <w:rFonts w:ascii="Times New Roman" w:hAnsi="Times New Roman" w:cs="Times New Roman"/>
          <w:sz w:val="24"/>
          <w:szCs w:val="24"/>
        </w:rPr>
        <w:t>t</w:t>
      </w:r>
      <w:r w:rsidRPr="001F1035">
        <w:rPr>
          <w:rFonts w:ascii="Times New Roman" w:hAnsi="Times New Roman" w:cs="Times New Roman"/>
          <w:sz w:val="24"/>
          <w:szCs w:val="24"/>
        </w:rPr>
        <w:t>vorb</w:t>
      </w:r>
      <w:r w:rsidR="006A1547">
        <w:rPr>
          <w:rFonts w:ascii="Times New Roman" w:hAnsi="Times New Roman" w:cs="Times New Roman"/>
          <w:sz w:val="24"/>
          <w:szCs w:val="24"/>
        </w:rPr>
        <w:t>u</w:t>
      </w:r>
      <w:r w:rsidRPr="001F1035">
        <w:rPr>
          <w:rFonts w:ascii="Times New Roman" w:hAnsi="Times New Roman" w:cs="Times New Roman"/>
          <w:sz w:val="24"/>
          <w:szCs w:val="24"/>
        </w:rPr>
        <w:t xml:space="preserve"> a použitie peňažných fondov a iných fondov </w:t>
      </w:r>
    </w:p>
    <w:p w14:paraId="59C26E5A" w14:textId="77777777" w:rsidR="00EA0A68" w:rsidRDefault="001F1035" w:rsidP="005D401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EA0A68"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>. údaje o hospodárení príspevkových organizácií</w:t>
      </w:r>
      <w:r w:rsidR="007E3C55"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(obec nemá zriadenú PO ani RO)</w:t>
      </w:r>
    </w:p>
    <w:p w14:paraId="13105FF2" w14:textId="77777777" w:rsidR="009A5295" w:rsidRPr="001F1035" w:rsidRDefault="009A5295" w:rsidP="005D401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prehľad o poskytnutých dotáciách </w:t>
      </w:r>
    </w:p>
    <w:p w14:paraId="763D73F1" w14:textId="77777777" w:rsidR="001F1035" w:rsidRPr="001F1035" w:rsidRDefault="009A5295" w:rsidP="001F103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EA0A68"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>. údaje o nákladoch a výno</w:t>
      </w:r>
      <w:r w:rsidR="00EB22EA"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>soch z podnikateľskej činnosti</w:t>
      </w:r>
    </w:p>
    <w:p w14:paraId="2E95EB20" w14:textId="77777777" w:rsidR="001F1035" w:rsidRPr="001F1035" w:rsidRDefault="009A5295" w:rsidP="001F103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1F1035"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6A1547">
        <w:rPr>
          <w:rFonts w:ascii="Times New Roman" w:eastAsiaTheme="minorHAnsi" w:hAnsi="Times New Roman" w:cs="Times New Roman"/>
          <w:sz w:val="24"/>
          <w:szCs w:val="24"/>
          <w:lang w:eastAsia="en-US"/>
        </w:rPr>
        <w:t>f</w:t>
      </w:r>
      <w:r w:rsidR="001F1035" w:rsidRPr="001F1035">
        <w:rPr>
          <w:rFonts w:ascii="Times New Roman" w:hAnsi="Times New Roman" w:cs="Times New Roman"/>
          <w:sz w:val="24"/>
          <w:szCs w:val="24"/>
        </w:rPr>
        <w:t>inančné usporiadanie finančných vzťahov voči:</w:t>
      </w:r>
    </w:p>
    <w:p w14:paraId="4869E6CB" w14:textId="77777777" w:rsidR="001F1035" w:rsidRPr="001F1035" w:rsidRDefault="001F1035" w:rsidP="001F1035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F1035">
        <w:rPr>
          <w:rFonts w:ascii="Times New Roman" w:hAnsi="Times New Roman" w:cs="Times New Roman"/>
          <w:sz w:val="24"/>
          <w:szCs w:val="24"/>
        </w:rPr>
        <w:t>štátnemu rozpočtu</w:t>
      </w:r>
    </w:p>
    <w:p w14:paraId="21C7CE1E" w14:textId="77777777" w:rsidR="001F1035" w:rsidRPr="001F1035" w:rsidRDefault="001F1035" w:rsidP="001F1035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F1035">
        <w:rPr>
          <w:rFonts w:ascii="Times New Roman" w:hAnsi="Times New Roman" w:cs="Times New Roman"/>
          <w:sz w:val="24"/>
          <w:szCs w:val="24"/>
        </w:rPr>
        <w:t>štátnym fondom</w:t>
      </w:r>
    </w:p>
    <w:p w14:paraId="093B1C9C" w14:textId="77777777" w:rsidR="001F1035" w:rsidRPr="001F1035" w:rsidRDefault="001F1035" w:rsidP="001F1035">
      <w:pPr>
        <w:numPr>
          <w:ilvl w:val="1"/>
          <w:numId w:val="5"/>
        </w:numPr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F1035">
        <w:rPr>
          <w:rFonts w:ascii="Times New Roman" w:hAnsi="Times New Roman" w:cs="Times New Roman"/>
          <w:sz w:val="24"/>
          <w:szCs w:val="24"/>
        </w:rPr>
        <w:t>rozpočtom VÚC</w:t>
      </w:r>
    </w:p>
    <w:p w14:paraId="3BC539A1" w14:textId="77777777" w:rsidR="00EA0A68" w:rsidRPr="001F1035" w:rsidRDefault="009A5295" w:rsidP="00EB22E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="00EA0A68"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>. hodnotenie plnenia programového rozpočtu</w:t>
      </w:r>
      <w:r w:rsidR="007E3C55"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(nepredkladá sa)</w:t>
      </w:r>
      <w:r w:rsidR="00EA0A68" w:rsidRPr="001F103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840AEBB" w14:textId="77777777" w:rsidR="00EA0A68" w:rsidRPr="00EA0A68" w:rsidRDefault="00EA0A68" w:rsidP="005D40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BFC3A" w14:textId="77777777" w:rsidR="00EA0A68" w:rsidRPr="00EA0A68" w:rsidRDefault="00EA0A68" w:rsidP="00EA0A68">
      <w:pPr>
        <w:pStyle w:val="Odsekzoznamu"/>
        <w:numPr>
          <w:ilvl w:val="0"/>
          <w:numId w:val="3"/>
        </w:numPr>
        <w:jc w:val="both"/>
        <w:rPr>
          <w:b/>
        </w:rPr>
      </w:pPr>
      <w:r w:rsidRPr="00EA0A68">
        <w:rPr>
          <w:b/>
        </w:rPr>
        <w:t>Hodnotenie programového rozpočtu obce</w:t>
      </w:r>
    </w:p>
    <w:p w14:paraId="2387EAB4" w14:textId="5DFC1CB9" w:rsidR="00EA0A68" w:rsidRPr="00EA0A68" w:rsidRDefault="002E0228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využila zákonnú možnosť,</w:t>
      </w:r>
      <w:r w:rsidR="00EA0A68" w:rsidRPr="00EA0A68">
        <w:rPr>
          <w:rFonts w:ascii="Times New Roman" w:hAnsi="Times New Roman" w:cs="Times New Roman"/>
          <w:sz w:val="24"/>
          <w:szCs w:val="24"/>
        </w:rPr>
        <w:t xml:space="preserve"> po</w:t>
      </w:r>
      <w:r w:rsidR="007E3C55">
        <w:rPr>
          <w:rFonts w:ascii="Times New Roman" w:hAnsi="Times New Roman" w:cs="Times New Roman"/>
          <w:sz w:val="24"/>
          <w:szCs w:val="24"/>
        </w:rPr>
        <w:t>dľa §</w:t>
      </w:r>
      <w:r w:rsidR="006A1547">
        <w:rPr>
          <w:rFonts w:ascii="Times New Roman" w:hAnsi="Times New Roman" w:cs="Times New Roman"/>
          <w:sz w:val="24"/>
          <w:szCs w:val="24"/>
        </w:rPr>
        <w:t xml:space="preserve"> </w:t>
      </w:r>
      <w:r w:rsidR="007E3C55">
        <w:rPr>
          <w:rFonts w:ascii="Times New Roman" w:hAnsi="Times New Roman" w:cs="Times New Roman"/>
          <w:sz w:val="24"/>
          <w:szCs w:val="24"/>
        </w:rPr>
        <w:t xml:space="preserve">4 ods. 5 </w:t>
      </w:r>
      <w:r w:rsidR="00EA0A68" w:rsidRPr="00EA0A68">
        <w:rPr>
          <w:rFonts w:ascii="Times New Roman" w:hAnsi="Times New Roman" w:cs="Times New Roman"/>
          <w:sz w:val="24"/>
          <w:szCs w:val="24"/>
        </w:rPr>
        <w:t xml:space="preserve">zák. č. 583/2004 Z. z. o rozpočtových pravidlách územnej samosprávy </w:t>
      </w:r>
      <w:r w:rsidR="007E3C55">
        <w:rPr>
          <w:rFonts w:ascii="Times New Roman" w:hAnsi="Times New Roman" w:cs="Times New Roman"/>
          <w:sz w:val="24"/>
          <w:szCs w:val="24"/>
        </w:rPr>
        <w:t xml:space="preserve"> a</w:t>
      </w:r>
      <w:r w:rsidR="00AC095E">
        <w:rPr>
          <w:rFonts w:ascii="Times New Roman" w:hAnsi="Times New Roman" w:cs="Times New Roman"/>
          <w:sz w:val="24"/>
          <w:szCs w:val="24"/>
        </w:rPr>
        <w:t xml:space="preserve"> neuplatnila </w:t>
      </w:r>
      <w:r w:rsidR="0070565B">
        <w:rPr>
          <w:rFonts w:ascii="Times New Roman" w:hAnsi="Times New Roman" w:cs="Times New Roman"/>
          <w:sz w:val="24"/>
          <w:szCs w:val="24"/>
        </w:rPr>
        <w:t xml:space="preserve">program obce </w:t>
      </w:r>
      <w:r w:rsidR="007E3C55">
        <w:rPr>
          <w:rFonts w:ascii="Times New Roman" w:hAnsi="Times New Roman" w:cs="Times New Roman"/>
          <w:sz w:val="24"/>
          <w:szCs w:val="24"/>
        </w:rPr>
        <w:t>pre rok 20</w:t>
      </w:r>
      <w:r w:rsidR="008A7EC5">
        <w:rPr>
          <w:rFonts w:ascii="Times New Roman" w:hAnsi="Times New Roman" w:cs="Times New Roman"/>
          <w:sz w:val="24"/>
          <w:szCs w:val="24"/>
        </w:rPr>
        <w:t>2</w:t>
      </w:r>
      <w:r w:rsidR="00574AEF">
        <w:rPr>
          <w:rFonts w:ascii="Times New Roman" w:hAnsi="Times New Roman" w:cs="Times New Roman"/>
          <w:sz w:val="24"/>
          <w:szCs w:val="24"/>
        </w:rPr>
        <w:t>4</w:t>
      </w:r>
      <w:r w:rsidR="0070565B">
        <w:rPr>
          <w:rFonts w:ascii="Times New Roman" w:hAnsi="Times New Roman" w:cs="Times New Roman"/>
          <w:sz w:val="24"/>
          <w:szCs w:val="24"/>
        </w:rPr>
        <w:t xml:space="preserve">, t. j. </w:t>
      </w:r>
      <w:r w:rsidR="007E3C55">
        <w:rPr>
          <w:rFonts w:ascii="Times New Roman" w:hAnsi="Times New Roman" w:cs="Times New Roman"/>
          <w:sz w:val="24"/>
          <w:szCs w:val="24"/>
        </w:rPr>
        <w:t>programový rozpočet obce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43C69F" w14:textId="77777777" w:rsidR="00EA0A68" w:rsidRPr="00EA0A68" w:rsidRDefault="00EA0A68" w:rsidP="00EA0A68">
      <w:pPr>
        <w:pStyle w:val="Odsekzoznamu"/>
        <w:numPr>
          <w:ilvl w:val="0"/>
          <w:numId w:val="3"/>
        </w:numPr>
        <w:jc w:val="both"/>
        <w:rPr>
          <w:rStyle w:val="Vrazn"/>
        </w:rPr>
      </w:pPr>
      <w:r w:rsidRPr="00EA0A68">
        <w:rPr>
          <w:rStyle w:val="Vrazn"/>
        </w:rPr>
        <w:t>Záver</w:t>
      </w:r>
    </w:p>
    <w:p w14:paraId="33278353" w14:textId="77777777" w:rsidR="00EA0A68" w:rsidRPr="00EA0A68" w:rsidRDefault="00EA0A68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 w:rsidRPr="00EA0A68">
        <w:rPr>
          <w:rFonts w:ascii="Times New Roman" w:hAnsi="Times New Roman" w:cs="Times New Roman"/>
          <w:sz w:val="24"/>
          <w:szCs w:val="24"/>
        </w:rPr>
        <w:t>Podľa § 16 ods. 10 zák. č. 583/2004 Z. z. o rozpočtových pravidlách územnej samosprávy v platnom znení prerokovanie záverečného účtu obce sa uzatvára jedným z týchto výrokov:</w:t>
      </w:r>
    </w:p>
    <w:p w14:paraId="0DE5DE86" w14:textId="77777777" w:rsidR="00EA0A68" w:rsidRPr="00EA0A68" w:rsidRDefault="00EA0A68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 w:rsidRPr="00EA0A68">
        <w:rPr>
          <w:rFonts w:ascii="Times New Roman" w:hAnsi="Times New Roman" w:cs="Times New Roman"/>
          <w:sz w:val="24"/>
          <w:szCs w:val="24"/>
        </w:rPr>
        <w:t>a) celoročné hospodárenie sa schvaľuje bez výhrad</w:t>
      </w:r>
    </w:p>
    <w:p w14:paraId="46966637" w14:textId="77777777" w:rsidR="00EA0A68" w:rsidRPr="00EA0A68" w:rsidRDefault="00EA0A68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 w:rsidRPr="00EA0A68">
        <w:rPr>
          <w:rFonts w:ascii="Times New Roman" w:hAnsi="Times New Roman" w:cs="Times New Roman"/>
          <w:sz w:val="24"/>
          <w:szCs w:val="24"/>
        </w:rPr>
        <w:t>b) celoročné hospodárenie sa schvaľuje s výhradami.</w:t>
      </w:r>
    </w:p>
    <w:p w14:paraId="12DC13EA" w14:textId="77777777" w:rsidR="00EA0A68" w:rsidRPr="00EA0A68" w:rsidRDefault="00EA0A68" w:rsidP="00EA0A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4B9DF" w14:textId="25681945" w:rsidR="00EA0A68" w:rsidRDefault="00EA0A68" w:rsidP="00EA0A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A68">
        <w:rPr>
          <w:rFonts w:ascii="Times New Roman" w:hAnsi="Times New Roman" w:cs="Times New Roman"/>
          <w:b/>
          <w:sz w:val="24"/>
          <w:szCs w:val="24"/>
        </w:rPr>
        <w:t xml:space="preserve">Odporúčam Obecnému zastupiteľstvu schváliť Záverečný účet </w:t>
      </w:r>
      <w:r w:rsidR="001C06A5">
        <w:rPr>
          <w:rFonts w:ascii="Times New Roman" w:hAnsi="Times New Roman" w:cs="Times New Roman"/>
          <w:b/>
          <w:sz w:val="24"/>
          <w:szCs w:val="24"/>
        </w:rPr>
        <w:t xml:space="preserve">Obce </w:t>
      </w:r>
      <w:r w:rsidR="003D5D08">
        <w:rPr>
          <w:rFonts w:ascii="Times New Roman" w:hAnsi="Times New Roman" w:cs="Times New Roman"/>
          <w:b/>
          <w:sz w:val="24"/>
          <w:szCs w:val="24"/>
        </w:rPr>
        <w:t>D</w:t>
      </w:r>
      <w:r w:rsidR="00B76018">
        <w:rPr>
          <w:rFonts w:ascii="Times New Roman" w:hAnsi="Times New Roman" w:cs="Times New Roman"/>
          <w:b/>
          <w:sz w:val="24"/>
          <w:szCs w:val="24"/>
        </w:rPr>
        <w:t>ú</w:t>
      </w:r>
      <w:r w:rsidR="003D5D08">
        <w:rPr>
          <w:rFonts w:ascii="Times New Roman" w:hAnsi="Times New Roman" w:cs="Times New Roman"/>
          <w:b/>
          <w:sz w:val="24"/>
          <w:szCs w:val="24"/>
        </w:rPr>
        <w:t>brava</w:t>
      </w:r>
      <w:r w:rsidR="001C0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A68">
        <w:rPr>
          <w:rFonts w:ascii="Times New Roman" w:hAnsi="Times New Roman" w:cs="Times New Roman"/>
          <w:b/>
          <w:sz w:val="24"/>
          <w:szCs w:val="24"/>
        </w:rPr>
        <w:t>za rok 20</w:t>
      </w:r>
      <w:r w:rsidR="0065662E">
        <w:rPr>
          <w:rFonts w:ascii="Times New Roman" w:hAnsi="Times New Roman" w:cs="Times New Roman"/>
          <w:b/>
          <w:sz w:val="24"/>
          <w:szCs w:val="24"/>
        </w:rPr>
        <w:t>2</w:t>
      </w:r>
      <w:r w:rsidR="00574AEF">
        <w:rPr>
          <w:rFonts w:ascii="Times New Roman" w:hAnsi="Times New Roman" w:cs="Times New Roman"/>
          <w:b/>
          <w:sz w:val="24"/>
          <w:szCs w:val="24"/>
        </w:rPr>
        <w:t>4</w:t>
      </w:r>
      <w:r w:rsidRPr="00EA0A68">
        <w:rPr>
          <w:rFonts w:ascii="Times New Roman" w:hAnsi="Times New Roman" w:cs="Times New Roman"/>
          <w:b/>
          <w:sz w:val="24"/>
          <w:szCs w:val="24"/>
        </w:rPr>
        <w:t xml:space="preserve"> a celoročné hospodárenie Obce </w:t>
      </w:r>
      <w:r w:rsidR="003D5D08">
        <w:rPr>
          <w:rFonts w:ascii="Times New Roman" w:hAnsi="Times New Roman" w:cs="Times New Roman"/>
          <w:b/>
          <w:sz w:val="24"/>
          <w:szCs w:val="24"/>
        </w:rPr>
        <w:t xml:space="preserve">Dúbrava </w:t>
      </w:r>
      <w:r w:rsidRPr="00EA0A68">
        <w:rPr>
          <w:rFonts w:ascii="Times New Roman" w:hAnsi="Times New Roman" w:cs="Times New Roman"/>
          <w:b/>
          <w:sz w:val="24"/>
          <w:szCs w:val="24"/>
        </w:rPr>
        <w:t>za r. 20</w:t>
      </w:r>
      <w:r w:rsidR="0065662E">
        <w:rPr>
          <w:rFonts w:ascii="Times New Roman" w:hAnsi="Times New Roman" w:cs="Times New Roman"/>
          <w:b/>
          <w:sz w:val="24"/>
          <w:szCs w:val="24"/>
        </w:rPr>
        <w:t>2</w:t>
      </w:r>
      <w:r w:rsidR="00574AEF">
        <w:rPr>
          <w:rFonts w:ascii="Times New Roman" w:hAnsi="Times New Roman" w:cs="Times New Roman"/>
          <w:b/>
          <w:sz w:val="24"/>
          <w:szCs w:val="24"/>
        </w:rPr>
        <w:t>4</w:t>
      </w:r>
      <w:r w:rsidRPr="00EA0A68">
        <w:rPr>
          <w:rFonts w:ascii="Times New Roman" w:hAnsi="Times New Roman" w:cs="Times New Roman"/>
          <w:b/>
          <w:sz w:val="24"/>
          <w:szCs w:val="24"/>
        </w:rPr>
        <w:t xml:space="preserve"> bez výhrad.</w:t>
      </w:r>
      <w:r w:rsidR="006648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878CAF" w14:textId="37DEA246" w:rsidR="00B87470" w:rsidRPr="00EA0A68" w:rsidRDefault="00E42153" w:rsidP="00EA0A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Odporúčam obecnému zastupiteľstvu </w:t>
      </w:r>
      <w:r w:rsidR="00574AEF">
        <w:rPr>
          <w:rFonts w:ascii="Times New Roman" w:hAnsi="Times New Roman" w:cs="Times New Roman"/>
          <w:b/>
          <w:sz w:val="24"/>
          <w:szCs w:val="24"/>
        </w:rPr>
        <w:t>zostatok</w:t>
      </w:r>
      <w:r w:rsidR="00AA42C6">
        <w:rPr>
          <w:rFonts w:ascii="Times New Roman" w:hAnsi="Times New Roman" w:cs="Times New Roman"/>
          <w:b/>
          <w:sz w:val="24"/>
          <w:szCs w:val="24"/>
        </w:rPr>
        <w:t xml:space="preserve"> hospodárenia </w:t>
      </w:r>
      <w:r>
        <w:rPr>
          <w:rFonts w:ascii="Times New Roman" w:hAnsi="Times New Roman" w:cs="Times New Roman"/>
          <w:b/>
          <w:sz w:val="24"/>
          <w:szCs w:val="24"/>
        </w:rPr>
        <w:t xml:space="preserve">vo výške </w:t>
      </w:r>
      <w:r w:rsidR="007A6536" w:rsidRPr="00B74E3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</w:t>
      </w:r>
      <w:r w:rsidR="00B74E35" w:rsidRPr="00B74E3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225,29</w:t>
      </w:r>
      <w:r w:rsidR="007A6536" w:rsidRPr="005E4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eur použiť celý na tvorbu rezervného fondu.</w:t>
      </w:r>
    </w:p>
    <w:p w14:paraId="0A8B6CE4" w14:textId="77777777" w:rsidR="00EA0A68" w:rsidRPr="00EA0A68" w:rsidRDefault="00EA0A68" w:rsidP="00EA0A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D283E" w14:textId="7A1AE28E" w:rsidR="00EA0A68" w:rsidRPr="00EA0A68" w:rsidRDefault="001C06A5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Levoči, </w:t>
      </w:r>
      <w:r w:rsidR="00AA42C6">
        <w:rPr>
          <w:rFonts w:ascii="Times New Roman" w:hAnsi="Times New Roman" w:cs="Times New Roman"/>
          <w:sz w:val="24"/>
          <w:szCs w:val="24"/>
        </w:rPr>
        <w:t>27</w:t>
      </w:r>
      <w:r w:rsidR="00EA0A68" w:rsidRPr="00EA0A68">
        <w:rPr>
          <w:rFonts w:ascii="Times New Roman" w:hAnsi="Times New Roman" w:cs="Times New Roman"/>
          <w:sz w:val="24"/>
          <w:szCs w:val="24"/>
        </w:rPr>
        <w:t>.</w:t>
      </w:r>
      <w:r w:rsidR="00E42153">
        <w:rPr>
          <w:rFonts w:ascii="Times New Roman" w:hAnsi="Times New Roman" w:cs="Times New Roman"/>
          <w:sz w:val="24"/>
          <w:szCs w:val="24"/>
        </w:rPr>
        <w:t>0</w:t>
      </w:r>
      <w:r w:rsidR="00AA42C6">
        <w:rPr>
          <w:rFonts w:ascii="Times New Roman" w:hAnsi="Times New Roman" w:cs="Times New Roman"/>
          <w:sz w:val="24"/>
          <w:szCs w:val="24"/>
        </w:rPr>
        <w:t>4</w:t>
      </w:r>
      <w:r w:rsidR="00EA0A68" w:rsidRPr="00EA0A68">
        <w:rPr>
          <w:rFonts w:ascii="Times New Roman" w:hAnsi="Times New Roman" w:cs="Times New Roman"/>
          <w:sz w:val="24"/>
          <w:szCs w:val="24"/>
        </w:rPr>
        <w:t>.20</w:t>
      </w:r>
      <w:r w:rsidR="006A1547">
        <w:rPr>
          <w:rFonts w:ascii="Times New Roman" w:hAnsi="Times New Roman" w:cs="Times New Roman"/>
          <w:sz w:val="24"/>
          <w:szCs w:val="24"/>
        </w:rPr>
        <w:t>2</w:t>
      </w:r>
      <w:r w:rsidR="00AA42C6">
        <w:rPr>
          <w:rFonts w:ascii="Times New Roman" w:hAnsi="Times New Roman" w:cs="Times New Roman"/>
          <w:sz w:val="24"/>
          <w:szCs w:val="24"/>
        </w:rPr>
        <w:t>5</w:t>
      </w:r>
      <w:r w:rsidR="00812044">
        <w:rPr>
          <w:rFonts w:ascii="Times New Roman" w:hAnsi="Times New Roman" w:cs="Times New Roman"/>
          <w:sz w:val="24"/>
          <w:szCs w:val="24"/>
        </w:rPr>
        <w:t>.</w:t>
      </w:r>
    </w:p>
    <w:p w14:paraId="3C5D9BF4" w14:textId="77777777" w:rsidR="00EA0A68" w:rsidRPr="00EA0A68" w:rsidRDefault="00EA0A68" w:rsidP="00EA0A68">
      <w:pPr>
        <w:jc w:val="both"/>
        <w:rPr>
          <w:rFonts w:ascii="Times New Roman" w:hAnsi="Times New Roman" w:cs="Times New Roman"/>
          <w:sz w:val="24"/>
          <w:szCs w:val="24"/>
        </w:rPr>
      </w:pPr>
      <w:r w:rsidRPr="00EA0A68">
        <w:rPr>
          <w:rFonts w:ascii="Times New Roman" w:hAnsi="Times New Roman" w:cs="Times New Roman"/>
          <w:sz w:val="24"/>
          <w:szCs w:val="24"/>
        </w:rPr>
        <w:t>JUDr. Lýdia Budziňáková,</w:t>
      </w:r>
      <w:r w:rsidR="00D045A4">
        <w:rPr>
          <w:rFonts w:ascii="Times New Roman" w:hAnsi="Times New Roman" w:cs="Times New Roman"/>
          <w:sz w:val="24"/>
          <w:szCs w:val="24"/>
        </w:rPr>
        <w:t xml:space="preserve"> MBA,</w:t>
      </w:r>
      <w:r w:rsidRPr="00EA0A68">
        <w:rPr>
          <w:rFonts w:ascii="Times New Roman" w:hAnsi="Times New Roman" w:cs="Times New Roman"/>
          <w:sz w:val="24"/>
          <w:szCs w:val="24"/>
        </w:rPr>
        <w:t xml:space="preserve"> hlavná kontrolórka            </w:t>
      </w:r>
    </w:p>
    <w:p w14:paraId="6E34B9C7" w14:textId="77777777" w:rsidR="00EA0A68" w:rsidRPr="00EA0A68" w:rsidRDefault="00EA0A68" w:rsidP="00EA0A68">
      <w:pPr>
        <w:pStyle w:val="Default"/>
        <w:jc w:val="both"/>
      </w:pPr>
    </w:p>
    <w:p w14:paraId="77C7F4D6" w14:textId="77777777" w:rsidR="002C6566" w:rsidRPr="00EA0A68" w:rsidRDefault="002C6566">
      <w:pPr>
        <w:rPr>
          <w:rFonts w:ascii="Times New Roman" w:hAnsi="Times New Roman" w:cs="Times New Roman"/>
          <w:sz w:val="24"/>
          <w:szCs w:val="24"/>
        </w:rPr>
      </w:pPr>
    </w:p>
    <w:sectPr w:rsidR="002C6566" w:rsidRPr="00EA0A68" w:rsidSect="002C6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3640"/>
    <w:multiLevelType w:val="multilevel"/>
    <w:tmpl w:val="D24E7D76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 w15:restartNumberingAfterBreak="0">
    <w:nsid w:val="130F5F9D"/>
    <w:multiLevelType w:val="hybridMultilevel"/>
    <w:tmpl w:val="9C94860C"/>
    <w:lvl w:ilvl="0" w:tplc="791A5A4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C53A0"/>
    <w:multiLevelType w:val="hybridMultilevel"/>
    <w:tmpl w:val="01103DF2"/>
    <w:lvl w:ilvl="0" w:tplc="23BAEBAE">
      <w:start w:val="4"/>
      <w:numFmt w:val="decimal"/>
      <w:lvlText w:val="%1."/>
      <w:lvlJc w:val="left"/>
      <w:pPr>
        <w:ind w:left="10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3F09A6"/>
    <w:multiLevelType w:val="hybridMultilevel"/>
    <w:tmpl w:val="D234D14E"/>
    <w:lvl w:ilvl="0" w:tplc="5A18C5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0C2BBD"/>
    <w:multiLevelType w:val="hybridMultilevel"/>
    <w:tmpl w:val="BA2E145E"/>
    <w:lvl w:ilvl="0" w:tplc="41DCFC8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9548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804506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99127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0461789">
    <w:abstractNumId w:val="3"/>
  </w:num>
  <w:num w:numId="5" w16cid:durableId="1690184126">
    <w:abstractNumId w:val="2"/>
  </w:num>
  <w:num w:numId="6" w16cid:durableId="2042781065">
    <w:abstractNumId w:val="5"/>
  </w:num>
  <w:num w:numId="7" w16cid:durableId="102702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68"/>
    <w:rsid w:val="00005A44"/>
    <w:rsid w:val="00006189"/>
    <w:rsid w:val="00007ADF"/>
    <w:rsid w:val="000154CC"/>
    <w:rsid w:val="00020559"/>
    <w:rsid w:val="00023EFC"/>
    <w:rsid w:val="00030491"/>
    <w:rsid w:val="00031195"/>
    <w:rsid w:val="00044984"/>
    <w:rsid w:val="00055458"/>
    <w:rsid w:val="00057351"/>
    <w:rsid w:val="000611D0"/>
    <w:rsid w:val="0008733A"/>
    <w:rsid w:val="00092F0A"/>
    <w:rsid w:val="000A2A5F"/>
    <w:rsid w:val="000B3DDD"/>
    <w:rsid w:val="000B648F"/>
    <w:rsid w:val="000C0071"/>
    <w:rsid w:val="000C1539"/>
    <w:rsid w:val="000C32A9"/>
    <w:rsid w:val="000C4393"/>
    <w:rsid w:val="000C568B"/>
    <w:rsid w:val="000C6F78"/>
    <w:rsid w:val="000D23D1"/>
    <w:rsid w:val="000E3422"/>
    <w:rsid w:val="00114A8E"/>
    <w:rsid w:val="00115F7E"/>
    <w:rsid w:val="001313F2"/>
    <w:rsid w:val="0013501A"/>
    <w:rsid w:val="001427BD"/>
    <w:rsid w:val="001557A8"/>
    <w:rsid w:val="00156A76"/>
    <w:rsid w:val="00157777"/>
    <w:rsid w:val="0017031F"/>
    <w:rsid w:val="00174A63"/>
    <w:rsid w:val="001771DA"/>
    <w:rsid w:val="001779C7"/>
    <w:rsid w:val="00181957"/>
    <w:rsid w:val="001850E0"/>
    <w:rsid w:val="00192683"/>
    <w:rsid w:val="00195BAF"/>
    <w:rsid w:val="001C06A5"/>
    <w:rsid w:val="001C144F"/>
    <w:rsid w:val="001C3A57"/>
    <w:rsid w:val="001E1CF7"/>
    <w:rsid w:val="001F1035"/>
    <w:rsid w:val="001F1AD4"/>
    <w:rsid w:val="001F6E7B"/>
    <w:rsid w:val="00201438"/>
    <w:rsid w:val="00201970"/>
    <w:rsid w:val="00202977"/>
    <w:rsid w:val="00204A8D"/>
    <w:rsid w:val="002279F7"/>
    <w:rsid w:val="00227B36"/>
    <w:rsid w:val="00236C67"/>
    <w:rsid w:val="00251C2E"/>
    <w:rsid w:val="0025396E"/>
    <w:rsid w:val="00262742"/>
    <w:rsid w:val="0028300C"/>
    <w:rsid w:val="00283451"/>
    <w:rsid w:val="00287903"/>
    <w:rsid w:val="002B3D76"/>
    <w:rsid w:val="002B58EB"/>
    <w:rsid w:val="002C3D4B"/>
    <w:rsid w:val="002C6566"/>
    <w:rsid w:val="002D093D"/>
    <w:rsid w:val="002D620A"/>
    <w:rsid w:val="002E0228"/>
    <w:rsid w:val="002E612E"/>
    <w:rsid w:val="002E7432"/>
    <w:rsid w:val="002E7F05"/>
    <w:rsid w:val="00301007"/>
    <w:rsid w:val="0031239D"/>
    <w:rsid w:val="00315192"/>
    <w:rsid w:val="00322FBC"/>
    <w:rsid w:val="00323DD6"/>
    <w:rsid w:val="003246B1"/>
    <w:rsid w:val="00325FA0"/>
    <w:rsid w:val="00326C01"/>
    <w:rsid w:val="00346C5A"/>
    <w:rsid w:val="0035035A"/>
    <w:rsid w:val="00350C53"/>
    <w:rsid w:val="00354C38"/>
    <w:rsid w:val="00356A86"/>
    <w:rsid w:val="0036099A"/>
    <w:rsid w:val="003805D2"/>
    <w:rsid w:val="0038295A"/>
    <w:rsid w:val="0038434B"/>
    <w:rsid w:val="0039595B"/>
    <w:rsid w:val="003A0581"/>
    <w:rsid w:val="003B059D"/>
    <w:rsid w:val="003C51B8"/>
    <w:rsid w:val="003C786A"/>
    <w:rsid w:val="003D26C5"/>
    <w:rsid w:val="003D5D08"/>
    <w:rsid w:val="003E5DEB"/>
    <w:rsid w:val="003E6E2B"/>
    <w:rsid w:val="003F3CFB"/>
    <w:rsid w:val="00404503"/>
    <w:rsid w:val="00416426"/>
    <w:rsid w:val="00435421"/>
    <w:rsid w:val="00441360"/>
    <w:rsid w:val="00441A39"/>
    <w:rsid w:val="00443576"/>
    <w:rsid w:val="00444667"/>
    <w:rsid w:val="00446908"/>
    <w:rsid w:val="00453C89"/>
    <w:rsid w:val="0046746E"/>
    <w:rsid w:val="00471149"/>
    <w:rsid w:val="004720F2"/>
    <w:rsid w:val="00474178"/>
    <w:rsid w:val="00476C3B"/>
    <w:rsid w:val="00481824"/>
    <w:rsid w:val="004832A5"/>
    <w:rsid w:val="004911C6"/>
    <w:rsid w:val="00493CBB"/>
    <w:rsid w:val="00494789"/>
    <w:rsid w:val="004A521E"/>
    <w:rsid w:val="004B2040"/>
    <w:rsid w:val="004C1A0F"/>
    <w:rsid w:val="004D112E"/>
    <w:rsid w:val="004D26E0"/>
    <w:rsid w:val="004D3048"/>
    <w:rsid w:val="004D549A"/>
    <w:rsid w:val="004E6F60"/>
    <w:rsid w:val="004F541F"/>
    <w:rsid w:val="0050631A"/>
    <w:rsid w:val="00507D0C"/>
    <w:rsid w:val="00511AA4"/>
    <w:rsid w:val="00521FDD"/>
    <w:rsid w:val="00530556"/>
    <w:rsid w:val="0053427E"/>
    <w:rsid w:val="00540D03"/>
    <w:rsid w:val="00551F4F"/>
    <w:rsid w:val="00567057"/>
    <w:rsid w:val="00574AEF"/>
    <w:rsid w:val="00577E64"/>
    <w:rsid w:val="00597310"/>
    <w:rsid w:val="005A458D"/>
    <w:rsid w:val="005B1F7F"/>
    <w:rsid w:val="005C3335"/>
    <w:rsid w:val="005C4248"/>
    <w:rsid w:val="005D1321"/>
    <w:rsid w:val="005D401C"/>
    <w:rsid w:val="005D6BF9"/>
    <w:rsid w:val="005E4BDF"/>
    <w:rsid w:val="005E536E"/>
    <w:rsid w:val="00604EA1"/>
    <w:rsid w:val="00614BAF"/>
    <w:rsid w:val="00615EC4"/>
    <w:rsid w:val="00620435"/>
    <w:rsid w:val="0062145C"/>
    <w:rsid w:val="00622AD4"/>
    <w:rsid w:val="006318B4"/>
    <w:rsid w:val="006352F5"/>
    <w:rsid w:val="00641BA5"/>
    <w:rsid w:val="00647C20"/>
    <w:rsid w:val="006538E3"/>
    <w:rsid w:val="0065407A"/>
    <w:rsid w:val="00654CC7"/>
    <w:rsid w:val="0065662E"/>
    <w:rsid w:val="006641C3"/>
    <w:rsid w:val="00664877"/>
    <w:rsid w:val="00673651"/>
    <w:rsid w:val="0068303E"/>
    <w:rsid w:val="00694840"/>
    <w:rsid w:val="006A1547"/>
    <w:rsid w:val="006A6885"/>
    <w:rsid w:val="006A7389"/>
    <w:rsid w:val="006C6C8C"/>
    <w:rsid w:val="006C7AB8"/>
    <w:rsid w:val="006D5167"/>
    <w:rsid w:val="006F0EB7"/>
    <w:rsid w:val="00700DCE"/>
    <w:rsid w:val="0070565B"/>
    <w:rsid w:val="007117D7"/>
    <w:rsid w:val="00716B68"/>
    <w:rsid w:val="00724141"/>
    <w:rsid w:val="00752440"/>
    <w:rsid w:val="00755AB3"/>
    <w:rsid w:val="00757344"/>
    <w:rsid w:val="007651E8"/>
    <w:rsid w:val="007655E1"/>
    <w:rsid w:val="00773ACA"/>
    <w:rsid w:val="00783E6D"/>
    <w:rsid w:val="00784F7F"/>
    <w:rsid w:val="007953AD"/>
    <w:rsid w:val="00797512"/>
    <w:rsid w:val="007A02B9"/>
    <w:rsid w:val="007A0EDB"/>
    <w:rsid w:val="007A3E3C"/>
    <w:rsid w:val="007A6536"/>
    <w:rsid w:val="007B6528"/>
    <w:rsid w:val="007C2812"/>
    <w:rsid w:val="007C2BE6"/>
    <w:rsid w:val="007C6B53"/>
    <w:rsid w:val="007C7845"/>
    <w:rsid w:val="007D2A3F"/>
    <w:rsid w:val="007E1B35"/>
    <w:rsid w:val="007E3C55"/>
    <w:rsid w:val="007E537B"/>
    <w:rsid w:val="007F13C8"/>
    <w:rsid w:val="00800864"/>
    <w:rsid w:val="00812044"/>
    <w:rsid w:val="00827092"/>
    <w:rsid w:val="0083085E"/>
    <w:rsid w:val="008313B7"/>
    <w:rsid w:val="008328DB"/>
    <w:rsid w:val="00883C39"/>
    <w:rsid w:val="0088746E"/>
    <w:rsid w:val="0089127A"/>
    <w:rsid w:val="0089150A"/>
    <w:rsid w:val="008A7EC5"/>
    <w:rsid w:val="008B2D5C"/>
    <w:rsid w:val="008B5603"/>
    <w:rsid w:val="008C79E5"/>
    <w:rsid w:val="008D57E8"/>
    <w:rsid w:val="008E5AFC"/>
    <w:rsid w:val="008E618B"/>
    <w:rsid w:val="008F1667"/>
    <w:rsid w:val="00914D90"/>
    <w:rsid w:val="00915A98"/>
    <w:rsid w:val="00920E6D"/>
    <w:rsid w:val="00921506"/>
    <w:rsid w:val="0092289D"/>
    <w:rsid w:val="00926E70"/>
    <w:rsid w:val="00930DAE"/>
    <w:rsid w:val="009342A5"/>
    <w:rsid w:val="00935FB8"/>
    <w:rsid w:val="00937E46"/>
    <w:rsid w:val="00942B85"/>
    <w:rsid w:val="00954E3C"/>
    <w:rsid w:val="00960CB8"/>
    <w:rsid w:val="009643E7"/>
    <w:rsid w:val="00971AD1"/>
    <w:rsid w:val="009808FE"/>
    <w:rsid w:val="00981A2E"/>
    <w:rsid w:val="00987B17"/>
    <w:rsid w:val="009A2731"/>
    <w:rsid w:val="009A5295"/>
    <w:rsid w:val="009B1A9B"/>
    <w:rsid w:val="009B68E3"/>
    <w:rsid w:val="009B7527"/>
    <w:rsid w:val="009C10C4"/>
    <w:rsid w:val="009C360D"/>
    <w:rsid w:val="009D465F"/>
    <w:rsid w:val="009D4858"/>
    <w:rsid w:val="009D52AB"/>
    <w:rsid w:val="009E04F7"/>
    <w:rsid w:val="009F2854"/>
    <w:rsid w:val="00A07440"/>
    <w:rsid w:val="00A113E6"/>
    <w:rsid w:val="00A21535"/>
    <w:rsid w:val="00A23C11"/>
    <w:rsid w:val="00A272A6"/>
    <w:rsid w:val="00A37A06"/>
    <w:rsid w:val="00A51461"/>
    <w:rsid w:val="00A539D6"/>
    <w:rsid w:val="00A64E87"/>
    <w:rsid w:val="00A671BE"/>
    <w:rsid w:val="00A918A2"/>
    <w:rsid w:val="00A93A40"/>
    <w:rsid w:val="00A95F7D"/>
    <w:rsid w:val="00AA424B"/>
    <w:rsid w:val="00AA42C6"/>
    <w:rsid w:val="00AC095E"/>
    <w:rsid w:val="00AC408C"/>
    <w:rsid w:val="00AC6323"/>
    <w:rsid w:val="00AD5B49"/>
    <w:rsid w:val="00AE6F86"/>
    <w:rsid w:val="00B009CA"/>
    <w:rsid w:val="00B03D21"/>
    <w:rsid w:val="00B0662A"/>
    <w:rsid w:val="00B16A17"/>
    <w:rsid w:val="00B323AA"/>
    <w:rsid w:val="00B53C63"/>
    <w:rsid w:val="00B54725"/>
    <w:rsid w:val="00B609E5"/>
    <w:rsid w:val="00B65DB0"/>
    <w:rsid w:val="00B7036E"/>
    <w:rsid w:val="00B74E35"/>
    <w:rsid w:val="00B76018"/>
    <w:rsid w:val="00B77CC3"/>
    <w:rsid w:val="00B77D12"/>
    <w:rsid w:val="00B85363"/>
    <w:rsid w:val="00B86156"/>
    <w:rsid w:val="00B87470"/>
    <w:rsid w:val="00B91226"/>
    <w:rsid w:val="00BA749B"/>
    <w:rsid w:val="00BC0A78"/>
    <w:rsid w:val="00BD2492"/>
    <w:rsid w:val="00BD5106"/>
    <w:rsid w:val="00BD603B"/>
    <w:rsid w:val="00BF3114"/>
    <w:rsid w:val="00C00915"/>
    <w:rsid w:val="00C01D12"/>
    <w:rsid w:val="00C105A3"/>
    <w:rsid w:val="00C151B2"/>
    <w:rsid w:val="00C1742C"/>
    <w:rsid w:val="00C23A13"/>
    <w:rsid w:val="00C41A6D"/>
    <w:rsid w:val="00C4309C"/>
    <w:rsid w:val="00C461CC"/>
    <w:rsid w:val="00C53E15"/>
    <w:rsid w:val="00C5743C"/>
    <w:rsid w:val="00C70CC9"/>
    <w:rsid w:val="00C83C52"/>
    <w:rsid w:val="00C841B0"/>
    <w:rsid w:val="00C9229F"/>
    <w:rsid w:val="00CA1EC5"/>
    <w:rsid w:val="00CA31A0"/>
    <w:rsid w:val="00CA3DCF"/>
    <w:rsid w:val="00CA5FC0"/>
    <w:rsid w:val="00CC0195"/>
    <w:rsid w:val="00CC47DE"/>
    <w:rsid w:val="00CD7D05"/>
    <w:rsid w:val="00CE50E7"/>
    <w:rsid w:val="00CE5ACC"/>
    <w:rsid w:val="00D03B2B"/>
    <w:rsid w:val="00D045A4"/>
    <w:rsid w:val="00D20C6F"/>
    <w:rsid w:val="00D22926"/>
    <w:rsid w:val="00D475C4"/>
    <w:rsid w:val="00D5379E"/>
    <w:rsid w:val="00D53CAA"/>
    <w:rsid w:val="00D57A31"/>
    <w:rsid w:val="00D6351A"/>
    <w:rsid w:val="00D6511C"/>
    <w:rsid w:val="00D66A96"/>
    <w:rsid w:val="00D84E46"/>
    <w:rsid w:val="00D93610"/>
    <w:rsid w:val="00DA26FD"/>
    <w:rsid w:val="00DA68C9"/>
    <w:rsid w:val="00DA793B"/>
    <w:rsid w:val="00DB11D9"/>
    <w:rsid w:val="00DC5D6A"/>
    <w:rsid w:val="00DD2B02"/>
    <w:rsid w:val="00DD56F2"/>
    <w:rsid w:val="00DE042B"/>
    <w:rsid w:val="00DE246F"/>
    <w:rsid w:val="00DF60A6"/>
    <w:rsid w:val="00E03700"/>
    <w:rsid w:val="00E11405"/>
    <w:rsid w:val="00E1299E"/>
    <w:rsid w:val="00E176CF"/>
    <w:rsid w:val="00E33E40"/>
    <w:rsid w:val="00E42153"/>
    <w:rsid w:val="00E536C9"/>
    <w:rsid w:val="00E54FC2"/>
    <w:rsid w:val="00E71C7B"/>
    <w:rsid w:val="00E73D47"/>
    <w:rsid w:val="00E75FDC"/>
    <w:rsid w:val="00E8339C"/>
    <w:rsid w:val="00E94A27"/>
    <w:rsid w:val="00EA0A68"/>
    <w:rsid w:val="00EA4258"/>
    <w:rsid w:val="00EA51C3"/>
    <w:rsid w:val="00EB22EA"/>
    <w:rsid w:val="00EC31A3"/>
    <w:rsid w:val="00ED3C5A"/>
    <w:rsid w:val="00ED3FFB"/>
    <w:rsid w:val="00ED7CD3"/>
    <w:rsid w:val="00EF57CD"/>
    <w:rsid w:val="00F04432"/>
    <w:rsid w:val="00F136B0"/>
    <w:rsid w:val="00F27C70"/>
    <w:rsid w:val="00F32126"/>
    <w:rsid w:val="00F34677"/>
    <w:rsid w:val="00F35CD7"/>
    <w:rsid w:val="00F37981"/>
    <w:rsid w:val="00F4124A"/>
    <w:rsid w:val="00F47EC0"/>
    <w:rsid w:val="00F54083"/>
    <w:rsid w:val="00F5459B"/>
    <w:rsid w:val="00F70A68"/>
    <w:rsid w:val="00F82528"/>
    <w:rsid w:val="00F82968"/>
    <w:rsid w:val="00F8484F"/>
    <w:rsid w:val="00F950EC"/>
    <w:rsid w:val="00FA0FF7"/>
    <w:rsid w:val="00FA7367"/>
    <w:rsid w:val="00FB7BD9"/>
    <w:rsid w:val="00FC1DC7"/>
    <w:rsid w:val="00FC2ED5"/>
    <w:rsid w:val="00FD1B50"/>
    <w:rsid w:val="00FE4931"/>
    <w:rsid w:val="00FF30B3"/>
    <w:rsid w:val="00FF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B4F3A1"/>
  <w15:docId w15:val="{E8A95BF2-E446-4B98-BCF5-28E2EF33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65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0A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A0A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Vrazn">
    <w:name w:val="Strong"/>
    <w:basedOn w:val="Predvolenpsmoodseku"/>
    <w:uiPriority w:val="22"/>
    <w:qFormat/>
    <w:rsid w:val="00EA0A6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1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CF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37E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7E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7E4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7E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7E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5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C178-BB40-412E-8977-9797DC04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Budziňáková Lýdia</cp:lastModifiedBy>
  <cp:revision>199</cp:revision>
  <cp:lastPrinted>2019-04-06T14:48:00Z</cp:lastPrinted>
  <dcterms:created xsi:type="dcterms:W3CDTF">2020-05-18T19:04:00Z</dcterms:created>
  <dcterms:modified xsi:type="dcterms:W3CDTF">2025-04-29T19:37:00Z</dcterms:modified>
</cp:coreProperties>
</file>